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lrtitre"/>
        <w:rPr/>
      </w:pPr>
      <w:r>
        <w:rPr/>
        <w:t>Titre</w:t>
      </w:r>
    </w:p>
    <w:p>
      <w:pPr>
        <w:pStyle w:val="Slrsoustitre"/>
        <w:rPr/>
      </w:pPr>
      <w:r>
        <w:rPr/>
        <w:t>Sous-titre éventuel</w:t>
      </w:r>
    </w:p>
    <w:p>
      <w:pPr>
        <w:pStyle w:val="Slrtitle"/>
        <w:rPr/>
      </w:pPr>
      <w:r>
        <w:rPr/>
        <w:t>English t</w:t>
      </w:r>
      <w:r>
        <w:rPr/>
        <w:t>itle</w:t>
      </w:r>
    </w:p>
    <w:p>
      <w:pPr>
        <w:pStyle w:val="Slrsubtitle"/>
        <w:rPr/>
      </w:pPr>
      <w:r>
        <w:rPr/>
        <w:t>Optional English s</w:t>
      </w:r>
      <w:r>
        <w:rPr/>
        <w:t>ubtitle</w:t>
      </w:r>
    </w:p>
    <w:p>
      <w:pPr>
        <w:pStyle w:val="Slrnom"/>
        <w:rPr/>
      </w:pPr>
      <w:r>
        <w:rPr/>
        <w:t>Prénom</w:t>
      </w:r>
      <w:r>
        <w:rPr/>
        <w:t xml:space="preserve"> </w:t>
      </w:r>
      <w:r>
        <w:rPr/>
        <w:t>Nom de famille</w:t>
      </w:r>
    </w:p>
    <w:p>
      <w:pPr>
        <w:pStyle w:val="Slruniversiteinstitutionvilleetat"/>
        <w:rPr/>
      </w:pPr>
      <w:r>
        <w:rPr/>
        <w:t xml:space="preserve">Université ou institution </w:t>
      </w:r>
      <w:r>
        <w:rPr/>
        <w:t>(ville, état)</w:t>
      </w:r>
    </w:p>
    <w:p>
      <w:pPr>
        <w:pStyle w:val="Slrcourriel"/>
        <w:rPr/>
      </w:pPr>
      <w:r>
        <w:rPr/>
        <w:t>Adresse courriel</w:t>
      </w:r>
    </w:p>
    <w:p>
      <w:pPr>
        <w:pStyle w:val="Slrorcid"/>
        <w:rPr/>
      </w:pPr>
      <w:hyperlink r:id="rId2">
        <w:commentRangeStart w:id="0"/>
        <w:r>
          <w:rPr>
            <w:rStyle w:val="InternetLink"/>
          </w:rPr>
          <w:t>https://orcid.org/0000-0002-4083-8663</w:t>
        </w:r>
        <w:commentRangeEnd w:id="0"/>
        <w:r>
          <w:commentReference w:id="0"/>
        </w:r>
        <w:r>
          <w:rPr/>
        </w:r>
      </w:hyperlink>
    </w:p>
    <w:p>
      <w:pPr>
        <w:pStyle w:val="Slrdates"/>
        <w:rPr/>
      </w:pPr>
      <w:r>
        <w:rPr/>
        <w:t>Reçu le XX/XX/202</w:t>
      </w:r>
      <w:r>
        <w:rPr/>
        <w:t>2</w:t>
      </w:r>
      <w:r>
        <w:rPr/>
        <w:t xml:space="preserve">, accepté </w:t>
      </w:r>
      <w:r>
        <w:rPr/>
        <w:t>le XX</w:t>
      </w:r>
      <w:r>
        <w:rPr/>
        <w:t>/</w:t>
      </w:r>
      <w:r>
        <w:rPr/>
        <w:t>XX</w:t>
      </w:r>
      <w:r>
        <w:rPr/>
        <w:t>/</w:t>
      </w:r>
      <w:r>
        <w:rPr/>
        <w:t>202</w:t>
      </w:r>
      <w:r>
        <w:rPr/>
        <w:t>2</w:t>
      </w:r>
      <w:r>
        <w:rPr/>
        <w:t xml:space="preserve">, </w:t>
      </w:r>
      <w:r>
        <w:rPr/>
        <w:t>publié le XX/XX/202</w:t>
      </w:r>
      <w:r>
        <w:rPr/>
        <w:t>3</w:t>
      </w:r>
      <w:r>
        <w:rPr/>
        <w:t xml:space="preserve"> selon les termes de la licence </w:t>
      </w:r>
      <w:r>
        <w:rPr>
          <w:rStyle w:val="Slritalique"/>
          <w:iCs/>
        </w:rPr>
        <w:t>Creative Commons Attribution 4.0 International</w:t>
      </w:r>
      <w:r>
        <w:rPr/>
        <w:t xml:space="preserve"> (CC BY 4.0)</w:t>
      </w:r>
    </w:p>
    <w:p>
      <w:pPr>
        <w:pStyle w:val="Slrpourcitertitre"/>
        <w:rPr/>
      </w:pPr>
      <w:r>
        <w:rPr/>
        <w:t>Pour citer cet articl</w:t>
      </w:r>
      <w:r>
        <w:rPr/>
        <w:t>e</w:t>
      </w:r>
    </w:p>
    <w:p>
      <w:pPr>
        <w:pStyle w:val="Slrpourcitertexte"/>
        <w:rPr/>
      </w:pPr>
      <w:r>
        <w:rPr/>
        <w:t>Nom de famille, Prénom 202</w:t>
      </w:r>
      <w:r>
        <w:rPr/>
        <w:t>3</w:t>
      </w:r>
      <w:r>
        <w:rPr/>
        <w:t xml:space="preserve">. Titre. Sous-titre éventuel. </w:t>
      </w:r>
      <w:r>
        <w:rPr>
          <w:rStyle w:val="Slritalique"/>
          <w:iCs/>
        </w:rPr>
        <w:t>Studia linguistica romanica</w:t>
      </w:r>
      <w:r>
        <w:rPr/>
        <w:t xml:space="preserve"> 202</w:t>
      </w:r>
      <w:r>
        <w:rPr/>
        <w:t>3</w:t>
      </w:r>
      <w:r>
        <w:rPr/>
        <w:t>.</w:t>
      </w:r>
      <w:r>
        <w:rPr/>
        <w:t>9</w:t>
      </w:r>
      <w:r>
        <w:rPr/>
        <w:t>, page-page. https://doi.org/10.25364/19.202</w:t>
      </w:r>
      <w:r>
        <w:rPr/>
        <w:t>3</w:t>
      </w:r>
      <w:r>
        <w:rPr/>
        <w:t>.</w:t>
      </w:r>
      <w:r>
        <w:rPr/>
        <w:t>9</w:t>
      </w:r>
      <w:r>
        <w:rPr/>
        <w:t>.4.</w:t>
      </w:r>
    </w:p>
    <w:p>
      <w:pPr>
        <w:pStyle w:val="Slrresumetitre"/>
        <w:rPr/>
      </w:pPr>
      <w:bookmarkStart w:id="0" w:name="__RefHeading___Toc3170_528085325"/>
      <w:bookmarkEnd w:id="0"/>
      <w:r>
        <w:rPr/>
        <w:t>Résumé</w:t>
      </w:r>
    </w:p>
    <w:p>
      <w:pPr>
        <w:pStyle w:val="Slrresumetexte"/>
        <w:rPr/>
      </w:pPr>
      <w:r>
        <w:rPr>
          <w:b w:val="false"/>
          <w:bCs w:val="false"/>
        </w:rPr>
        <w:t>R</w:t>
      </w:r>
      <w:r>
        <w:rPr>
          <w:b w:val="false"/>
          <w:bCs w:val="false"/>
        </w:rPr>
        <w:t xml:space="preserve">ésumé de 1000 caractères (espaces </w:t>
      </w:r>
      <w:r>
        <w:rPr/>
        <w:t>comprises</w:t>
      </w:r>
      <w:r>
        <w:rPr>
          <w:b w:val="false"/>
          <w:bCs w:val="false"/>
        </w:rPr>
        <w:t>), sans retrait de la première ligne, en Times New Roman, avec une police de 1</w:t>
      </w:r>
      <w:r>
        <w:rPr>
          <w:b w:val="false"/>
          <w:bCs w:val="false"/>
        </w:rPr>
        <w:t>0</w:t>
      </w:r>
      <w:r>
        <w:rPr>
          <w:b w:val="false"/>
          <w:bCs w:val="false"/>
        </w:rPr>
        <w:t xml:space="preserve"> points et une interligne de 0,4</w:t>
      </w:r>
      <w:r>
        <w:rPr>
          <w:b w:val="false"/>
          <w:bCs w:val="false"/>
        </w:rPr>
        <w:t>2</w:t>
      </w:r>
      <w:r>
        <w:rPr>
          <w:b w:val="false"/>
          <w:bCs w:val="false"/>
        </w:rPr>
        <w:t xml:space="preserve"> cm. </w:t>
      </w:r>
      <w:r>
        <w:rPr>
          <w:b w:val="false"/>
          <w:bCs w:val="false"/>
        </w:rPr>
        <w:t>R</w:t>
      </w:r>
      <w:r>
        <w:rPr>
          <w:b w:val="false"/>
          <w:bCs w:val="false"/>
        </w:rPr>
        <w:t>ésumé de 1000 caractères (espaces comprises), sans retrait de la première ligne, en Times New Roman, avec une police de 1</w:t>
      </w:r>
      <w:r>
        <w:rPr>
          <w:b w:val="false"/>
          <w:bCs w:val="false"/>
        </w:rPr>
        <w:t>0</w:t>
      </w:r>
      <w:r>
        <w:rPr>
          <w:b w:val="false"/>
          <w:bCs w:val="false"/>
        </w:rPr>
        <w:t xml:space="preserve"> points et une interligne de 0,4</w:t>
      </w:r>
      <w:r>
        <w:rPr>
          <w:b w:val="false"/>
          <w:bCs w:val="false"/>
        </w:rPr>
        <w:t>2</w:t>
      </w:r>
      <w:r>
        <w:rPr>
          <w:b w:val="false"/>
          <w:bCs w:val="false"/>
        </w:rPr>
        <w:t xml:space="preserve"> cm. </w:t>
      </w:r>
      <w:r>
        <w:rPr>
          <w:b w:val="false"/>
          <w:bCs w:val="false"/>
        </w:rPr>
        <w:t>R</w:t>
      </w:r>
      <w:r>
        <w:rPr>
          <w:b w:val="false"/>
          <w:bCs w:val="false"/>
        </w:rPr>
        <w:t>ésumé de 1000 caractères (espaces comprises), sans retrait de la première ligne, en Times New Roman, avec une police de 1</w:t>
      </w:r>
      <w:r>
        <w:rPr>
          <w:b w:val="false"/>
          <w:bCs w:val="false"/>
        </w:rPr>
        <w:t>0</w:t>
      </w:r>
      <w:r>
        <w:rPr>
          <w:b w:val="false"/>
          <w:bCs w:val="false"/>
        </w:rPr>
        <w:t xml:space="preserve"> points et une interligne de 0,4</w:t>
      </w:r>
      <w:r>
        <w:rPr>
          <w:b w:val="false"/>
          <w:bCs w:val="false"/>
        </w:rPr>
        <w:t>2</w:t>
      </w:r>
      <w:r>
        <w:rPr>
          <w:b w:val="false"/>
          <w:bCs w:val="false"/>
        </w:rPr>
        <w:t xml:space="preserve"> cm. </w:t>
      </w:r>
      <w:r>
        <w:rPr>
          <w:b w:val="false"/>
          <w:bCs w:val="false"/>
        </w:rPr>
        <w:t>R</w:t>
      </w:r>
      <w:r>
        <w:rPr>
          <w:b w:val="false"/>
          <w:bCs w:val="false"/>
        </w:rPr>
        <w:t>ésumé de 1000 caractères (espaces comprises), sans retrait de la première ligne, en Times New Roman, avec une police de 1</w:t>
      </w:r>
      <w:r>
        <w:rPr>
          <w:b w:val="false"/>
          <w:bCs w:val="false"/>
        </w:rPr>
        <w:t>0</w:t>
      </w:r>
      <w:r>
        <w:rPr>
          <w:b w:val="false"/>
          <w:bCs w:val="false"/>
        </w:rPr>
        <w:t xml:space="preserve"> points et une interligne de 0,4</w:t>
      </w:r>
      <w:r>
        <w:rPr>
          <w:b w:val="false"/>
          <w:bCs w:val="false"/>
        </w:rPr>
        <w:t>2</w:t>
      </w:r>
      <w:r>
        <w:rPr>
          <w:b w:val="false"/>
          <w:bCs w:val="false"/>
        </w:rPr>
        <w:t xml:space="preserve"> cm. </w:t>
      </w:r>
      <w:r>
        <w:rPr>
          <w:b w:val="false"/>
          <w:bCs w:val="false"/>
        </w:rPr>
        <w:t>R</w:t>
      </w:r>
      <w:r>
        <w:rPr>
          <w:b w:val="false"/>
          <w:bCs w:val="false"/>
        </w:rPr>
        <w:t>ésumé de 1000 caractères (espaces comprises), sans retrait de la première ligne, en Times New Roman, avec une police de 1</w:t>
      </w:r>
      <w:r>
        <w:rPr>
          <w:b w:val="false"/>
          <w:bCs w:val="false"/>
        </w:rPr>
        <w:t>0</w:t>
      </w:r>
      <w:r>
        <w:rPr>
          <w:b w:val="false"/>
          <w:bCs w:val="false"/>
        </w:rPr>
        <w:t xml:space="preserve"> points et une interligne de 0,4</w:t>
      </w:r>
      <w:r>
        <w:rPr>
          <w:b w:val="false"/>
          <w:bCs w:val="false"/>
        </w:rPr>
        <w:t>2</w:t>
      </w:r>
      <w:r>
        <w:rPr>
          <w:b w:val="false"/>
          <w:bCs w:val="false"/>
        </w:rPr>
        <w:t xml:space="preserve"> cm. </w:t>
      </w:r>
      <w:r>
        <w:rPr>
          <w:b w:val="false"/>
          <w:bCs w:val="false"/>
        </w:rPr>
        <w:t>R</w:t>
      </w:r>
      <w:r>
        <w:rPr>
          <w:b w:val="false"/>
          <w:bCs w:val="false"/>
        </w:rPr>
        <w:t>ésumé de 1000 caractères (espaces comprises), sans retrait de la première ligne, en Times New Roman, avec une police de 1</w:t>
      </w:r>
      <w:r>
        <w:rPr>
          <w:b w:val="false"/>
          <w:bCs w:val="false"/>
        </w:rPr>
        <w:t>0</w:t>
      </w:r>
      <w:r>
        <w:rPr>
          <w:b w:val="false"/>
          <w:bCs w:val="false"/>
        </w:rPr>
        <w:t xml:space="preserve"> points et une interligne de 0,4</w:t>
      </w:r>
      <w:r>
        <w:rPr>
          <w:b w:val="false"/>
          <w:bCs w:val="false"/>
        </w:rPr>
        <w:t>2</w:t>
      </w:r>
      <w:r>
        <w:rPr>
          <w:b w:val="false"/>
          <w:bCs w:val="false"/>
        </w:rPr>
        <w:t xml:space="preserve"> cm.</w:t>
      </w:r>
    </w:p>
    <w:p>
      <w:pPr>
        <w:pStyle w:val="Slrabstracttitle"/>
        <w:rPr/>
      </w:pPr>
      <w:bookmarkStart w:id="1" w:name="__RefHeading___Toc3172_528085325"/>
      <w:bookmarkEnd w:id="1"/>
      <w:r>
        <w:rPr/>
        <w:t>Abstract</w:t>
      </w:r>
    </w:p>
    <w:p>
      <w:pPr>
        <w:pStyle w:val="Slrabstracttext"/>
        <w:rPr/>
      </w:pPr>
      <w:r>
        <w:rPr/>
        <w:t>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w:t>
      </w:r>
      <w:r>
        <w:br w:type="page"/>
      </w:r>
    </w:p>
    <w:p>
      <w:pPr>
        <w:pStyle w:val="Slralineacontinuation"/>
        <w:rPr/>
      </w:pPr>
      <w:r>
        <w:rPr/>
      </w:r>
    </w:p>
    <w:sdt>
      <w:sdtPr>
        <w:docPartObj>
          <w:docPartGallery w:val="Table of Contents"/>
          <w:docPartUnique w:val="true"/>
        </w:docPartObj>
      </w:sdtPr>
      <w:sdtContent>
        <w:p>
          <w:pPr>
            <w:pStyle w:val="Slrtitresectionniveau1"/>
            <w:ind w:left="567" w:right="0" w:hanging="567"/>
            <w:rPr/>
          </w:pPr>
          <w:r>
            <w:rPr/>
            <w:t>Sommaire</w:t>
          </w:r>
        </w:p>
        <w:p>
          <w:pPr>
            <w:pStyle w:val="Slrabreviationsreferencesbibliographiques"/>
            <w:tabs>
              <w:tab w:val="right" w:pos="7938" w:leader="dot"/>
            </w:tabs>
            <w:rPr/>
          </w:pPr>
          <w:r>
            <w:fldChar w:fldCharType="begin"/>
          </w:r>
          <w:r>
            <w:rPr>
              <w:rStyle w:val="IndexLink"/>
            </w:rPr>
            <w:instrText> TOC \t "slr-titre-section-niveau-4,4,slr-titre-section-niveau-3,3,slr-titre-section-niveau-2,2,slr-titre-section-niveau-1,1" \h</w:instrText>
          </w:r>
          <w:r>
            <w:rPr>
              <w:rStyle w:val="IndexLink"/>
            </w:rPr>
            <w:fldChar w:fldCharType="separate"/>
          </w:r>
          <w:hyperlink w:anchor="__RefHeading___Toc3176_528085325">
            <w:r>
              <w:rPr>
                <w:rStyle w:val="IndexLink"/>
              </w:rPr>
              <w:t>1 Titre de section niveau 1</w:t>
              <w:tab/>
              <w:t>3</w:t>
            </w:r>
          </w:hyperlink>
        </w:p>
        <w:p>
          <w:pPr>
            <w:pStyle w:val="Slrabreviationsreferencesbibliographiques"/>
            <w:tabs>
              <w:tab w:val="right" w:pos="7938" w:leader="dot"/>
            </w:tabs>
            <w:rPr/>
          </w:pPr>
          <w:hyperlink w:anchor="__RefHeading___Toc3178_528085325">
            <w:r>
              <w:rPr>
                <w:rStyle w:val="IndexLink"/>
              </w:rPr>
              <w:t>2 Titre de section niveau 1</w:t>
              <w:tab/>
              <w:t>4</w:t>
            </w:r>
          </w:hyperlink>
        </w:p>
        <w:p>
          <w:pPr>
            <w:pStyle w:val="Slrabreviationsreferencesbibliographiques"/>
            <w:tabs>
              <w:tab w:val="right" w:pos="7938" w:leader="dot"/>
            </w:tabs>
            <w:rPr/>
          </w:pPr>
          <w:hyperlink w:anchor="__RefHeading___Toc3180_528085325">
            <w:r>
              <w:rPr>
                <w:rStyle w:val="IndexLink"/>
              </w:rPr>
              <w:t>2.1 Titre de section niveau 2</w:t>
              <w:tab/>
              <w:t>4</w:t>
            </w:r>
          </w:hyperlink>
        </w:p>
        <w:p>
          <w:pPr>
            <w:pStyle w:val="Slrabreviationsreferencesbibliographiques"/>
            <w:tabs>
              <w:tab w:val="right" w:pos="7938" w:leader="dot"/>
            </w:tabs>
            <w:rPr/>
          </w:pPr>
          <w:hyperlink w:anchor="__RefHeading___Toc3182_528085325">
            <w:r>
              <w:rPr>
                <w:rStyle w:val="IndexLink"/>
              </w:rPr>
              <w:t>2.2 Titre de section niveau 2</w:t>
              <w:tab/>
              <w:t>5</w:t>
            </w:r>
          </w:hyperlink>
        </w:p>
        <w:p>
          <w:pPr>
            <w:pStyle w:val="Slrabreviationsreferencesbibliographiques"/>
            <w:tabs>
              <w:tab w:val="right" w:pos="7938" w:leader="dot"/>
            </w:tabs>
            <w:rPr/>
          </w:pPr>
          <w:hyperlink w:anchor="__RefHeading___Toc3184_528085325">
            <w:r>
              <w:rPr>
                <w:rStyle w:val="IndexLink"/>
              </w:rPr>
              <w:t>2.2.1 Titre de section niveau 3</w:t>
              <w:tab/>
              <w:t>6</w:t>
            </w:r>
          </w:hyperlink>
        </w:p>
        <w:p>
          <w:pPr>
            <w:pStyle w:val="Slrabreviationsreferencesbibliographiques"/>
            <w:tabs>
              <w:tab w:val="right" w:pos="7938" w:leader="dot"/>
            </w:tabs>
            <w:rPr/>
          </w:pPr>
          <w:hyperlink w:anchor="__RefHeading___Toc3186_528085325">
            <w:r>
              <w:rPr>
                <w:rStyle w:val="IndexLink"/>
              </w:rPr>
              <w:t>2.2.2 Titre de section niveau 3</w:t>
              <w:tab/>
              <w:t>6</w:t>
            </w:r>
          </w:hyperlink>
        </w:p>
        <w:p>
          <w:pPr>
            <w:pStyle w:val="Slrabreviationsreferencesbibliographiques"/>
            <w:tabs>
              <w:tab w:val="right" w:pos="7938" w:leader="dot"/>
            </w:tabs>
            <w:rPr/>
          </w:pPr>
          <w:hyperlink w:anchor="__RefHeading___Toc3188_528085325">
            <w:r>
              <w:rPr>
                <w:rStyle w:val="IndexLink"/>
              </w:rPr>
              <w:t>2.2.2.1 Titre de section niveau 4</w:t>
              <w:tab/>
              <w:t>6</w:t>
            </w:r>
          </w:hyperlink>
        </w:p>
        <w:p>
          <w:pPr>
            <w:pStyle w:val="Slrabreviationsreferencesbibliographiques"/>
            <w:tabs>
              <w:tab w:val="right" w:pos="7938" w:leader="dot"/>
            </w:tabs>
            <w:rPr/>
          </w:pPr>
          <w:hyperlink w:anchor="__RefHeading___Toc3190_528085325">
            <w:r>
              <w:rPr>
                <w:rStyle w:val="IndexLink"/>
              </w:rPr>
              <w:t>2.2.2.2 Titre de section niveau 4</w:t>
              <w:tab/>
              <w:t>7</w:t>
            </w:r>
          </w:hyperlink>
        </w:p>
        <w:p>
          <w:pPr>
            <w:pStyle w:val="Slrabreviationsreferencesbibliographiques"/>
            <w:tabs>
              <w:tab w:val="right" w:pos="7938" w:leader="dot"/>
            </w:tabs>
            <w:rPr/>
          </w:pPr>
          <w:hyperlink w:anchor="__RefHeading___Toc3192_528085325">
            <w:r>
              <w:rPr>
                <w:rStyle w:val="IndexLink"/>
              </w:rPr>
              <w:t>Abréviations et références bibliographiques</w:t>
              <w:tab/>
              <w:t>8</w:t>
            </w:r>
          </w:hyperlink>
          <w:r>
            <w:rPr>
              <w:rStyle w:val="IndexLink"/>
            </w:rPr>
            <w:fldChar w:fldCharType="end"/>
          </w:r>
        </w:p>
      </w:sdtContent>
    </w:sdt>
    <w:p>
      <w:pPr>
        <w:pStyle w:val="Slralineacontinuation"/>
        <w:rPr/>
      </w:pPr>
      <w:r>
        <w:rPr/>
      </w:r>
      <w:r>
        <w:br w:type="page"/>
      </w:r>
    </w:p>
    <w:p>
      <w:pPr>
        <w:pStyle w:val="Slrtitresectionniveau1"/>
        <w:ind w:left="567" w:right="0" w:hanging="567"/>
        <w:rPr/>
      </w:pPr>
      <w:bookmarkStart w:id="2" w:name="__RefHeading___Toc3176_528085325"/>
      <w:bookmarkEnd w:id="2"/>
      <w:r>
        <w:rPr/>
        <w:t>1</w:t>
        <w:tab/>
      </w:r>
      <w:r>
        <w:rPr/>
        <w:t>Titre de section niveau 1</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w:t>
      </w:r>
      <w:r>
        <w:rPr>
          <w:lang w:val="fr-FR"/>
        </w:rPr>
        <w:t xml:space="preserve">Berschin, Fernández-Sevilla </w:t>
      </w:r>
      <w:r>
        <w:rPr>
          <w:lang w:val="fr-FR"/>
        </w:rPr>
        <w:t xml:space="preserve">&amp; </w:t>
      </w:r>
      <w:r>
        <w:rPr>
          <w:lang w:val="fr-FR"/>
        </w:rPr>
        <w:t>Felixberger 2012</w:t>
      </w:r>
      <w:r>
        <w:rPr>
          <w:lang w:val="fr-FR"/>
        </w:rPr>
        <w:t>)</w:t>
      </w:r>
      <w:r>
        <w:rPr>
          <w:lang w:val="fr-FR"/>
        </w:rPr>
        <w:t xml:space="preserve">. </w:t>
      </w:r>
      <w:r>
        <w:rPr>
          <w:lang w:val="fr-FR"/>
        </w:rPr>
        <w:t>Alinéa</w:t>
      </w:r>
      <w:r>
        <w:rPr>
          <w:lang w:val="fr-FR"/>
        </w:rPr>
        <w:t xml:space="preserve"> numéroté</w:t>
      </w:r>
      <w:r>
        <w:rPr>
          <w:lang w:val="fr-FR"/>
        </w:rPr>
        <w:t xml:space="preserve">, </w:t>
      </w:r>
      <w:r>
        <w:rPr>
          <w:lang w:val="fr-FR"/>
        </w:rPr>
        <w:t>avec</w:t>
      </w:r>
      <w:r>
        <w:rPr>
          <w:lang w:val="fr-FR"/>
        </w:rPr>
        <w:t xml:space="preserve"> retrait </w:t>
      </w:r>
      <w:r>
        <w:rPr>
          <w:lang w:val="fr-FR"/>
        </w:rPr>
        <w:t>de la première ligne</w:t>
      </w:r>
      <w:r>
        <w:rPr>
          <w:lang w:val="fr-FR"/>
        </w:rPr>
        <w:t xml:space="preserve">, en Times New Roman, </w:t>
      </w:r>
      <w:r>
        <w:rPr>
          <w:lang w:val="fr-FR"/>
        </w:rPr>
        <w:t xml:space="preserve">marqueurs de discours (MD) </w:t>
      </w:r>
      <w:r>
        <w:rPr>
          <w:lang w:val="fr-FR"/>
        </w:rPr>
        <w:t>avec une police de 12 points et une</w:t>
      </w:r>
      <w:r>
        <w:rPr>
          <w:lang w:val="fr-FR"/>
        </w:rPr>
        <w:t xml:space="preserve"> </w:t>
      </w:r>
      <w:r>
        <w:rPr>
          <w:lang w:val="fr-FR"/>
        </w:rPr>
        <w:t xml:space="preserve">interligne de </w:t>
      </w:r>
      <w:r>
        <w:rPr>
          <w:lang w:val="fr-FR"/>
        </w:rPr>
        <w:t>0,</w:t>
      </w:r>
      <w:r>
        <w:rPr>
          <w:lang w:val="fr-FR"/>
        </w:rPr>
        <w:t>49 cm</w:t>
      </w:r>
      <w:r>
        <w:rPr/>
        <w:t xml:space="preserve"> </w:t>
      </w:r>
      <w:commentRangeStart w:id="1"/>
      <w:r>
        <w:rPr/>
        <w:t>« </w:t>
      </w:r>
      <w:r>
        <w:rPr/>
        <w:t>citation brève jusqu'à trois lignes</w:t>
      </w:r>
      <w:r>
        <w:rPr/>
        <w:t> »</w:t>
      </w:r>
      <w:r>
        <w:rPr/>
      </w:r>
      <w:commentRangeEnd w:id="1"/>
      <w:r>
        <w:commentReference w:id="1"/>
      </w:r>
      <w:r>
        <w:rPr>
          <w:lang w:val="fr-FR"/>
        </w:rPr>
        <w:t xml:space="preserve"> (</w:t>
      </w:r>
      <w:r>
        <w:rPr>
          <w:lang w:val="fr-FR"/>
        </w:rPr>
        <w:t>Briz Gómez 1998 : 159</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 (</w:t>
      </w:r>
      <w:commentRangeStart w:id="2"/>
      <w:r>
        <w:rPr>
          <w:lang w:val="fr-FR"/>
        </w:rPr>
        <w:t xml:space="preserve">Briz Gómez 1998 : </w:t>
      </w:r>
      <w:r>
        <w:rPr>
          <w:lang w:val="fr-FR"/>
        </w:rPr>
        <w:t>159</w:t>
      </w:r>
      <w:r>
        <w:rPr/>
      </w:r>
      <w:commentRangeEnd w:id="2"/>
      <w:r>
        <w:commentReference w:id="2"/>
      </w:r>
      <w:r>
        <w:rPr>
          <w:lang w:val="fr-FR"/>
        </w:rPr>
        <w:t>).</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2</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w:t>
      </w:r>
      <w:commentRangeStart w:id="3"/>
      <w:r>
        <w:rPr>
          <w:lang w:val="fr-FR"/>
        </w:rPr>
        <w:t>'expression impropre, ironique ou métaphorique'</w:t>
      </w:r>
      <w:r>
        <w:rPr/>
      </w:r>
      <w:commentRangeEnd w:id="3"/>
      <w:r>
        <w:commentReference w:id="3"/>
      </w:r>
      <w:r>
        <w:rPr>
          <w:lang w:val="fr-FR"/>
        </w:rPr>
        <w:t xml:space="preserve"> </w:t>
      </w:r>
      <w:r>
        <w:rPr>
          <w:lang w:val="fr-FR"/>
        </w:rPr>
        <w:t xml:space="preserve">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w:t>
      </w:r>
    </w:p>
    <w:p>
      <w:pPr>
        <w:pStyle w:val="Slralineacontinuation"/>
        <w:rPr/>
      </w:pPr>
      <w:r>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commentReference w:id="4"/>
            </w:r>
            <w:commentRangeStart w:id="5"/>
            <w:r>
              <w:rPr>
                <w:rFonts w:ascii="Times New Roman" w:hAnsi="Times New Roman"/>
                <w:b w:val="false"/>
                <w:bCs w:val="false"/>
                <w:i w:val="false"/>
                <w:iCs w:val="false"/>
                <w:strike w:val="false"/>
                <w:dstrike w:val="false"/>
                <w:outline w:val="false"/>
                <w:shadow w:val="false"/>
                <w:color w:val="00000A"/>
                <w:sz w:val="24"/>
                <w:szCs w:val="24"/>
                <w:u w:val="none"/>
              </w:rPr>
              <w:t>(1)</w:t>
            </w:r>
            <w:commentRangeEnd w:id="5"/>
            <w:r>
              <w:commentReference w:id="5"/>
            </w:r>
            <w:r>
              <w:rPr>
                <w:rFonts w:ascii="Times New Roman" w:hAnsi="Times New Roman"/>
                <w:b w:val="false"/>
                <w:bCs w:val="false"/>
                <w:i w:val="false"/>
                <w:iCs w:val="false"/>
                <w:strike w:val="false"/>
                <w:dstrike w:val="false"/>
                <w:outline w:val="false"/>
                <w:shadow w:val="false"/>
                <w:color w:val="00000A"/>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t>Alfonso X</w:t>
            </w:r>
            <w:r>
              <w:rPr>
                <w:rFonts w:ascii="Times New Roman" w:hAnsi="Times New Roman"/>
                <w:b w:val="false"/>
                <w:bCs w:val="false"/>
                <w:i w:val="false"/>
                <w:iCs w:val="false"/>
                <w:strike w:val="false"/>
                <w:dstrike w:val="false"/>
                <w:outline w:val="false"/>
                <w:shadow w:val="false"/>
                <w:color w:val="00000A"/>
                <w:sz w:val="24"/>
                <w:szCs w:val="24"/>
                <w:u w:val="none"/>
              </w:rPr>
              <w:t xml:space="preserve">, </w:t>
            </w:r>
            <w:r>
              <w:rPr>
                <w:rStyle w:val="Slritalique"/>
                <w:rFonts w:ascii="Times New Roman" w:hAnsi="Times New Roman"/>
                <w:b w:val="false"/>
                <w:bCs w:val="false"/>
                <w:iCs w:val="false"/>
                <w:strike w:val="false"/>
                <w:dstrike w:val="false"/>
                <w:outline w:val="false"/>
                <w:shadow w:val="false"/>
                <w:color w:val="00000A"/>
                <w:sz w:val="24"/>
                <w:szCs w:val="24"/>
                <w:u w:val="none"/>
              </w:rPr>
              <w:t>General Estoria. Primera parte</w:t>
            </w:r>
            <w:r>
              <w:rPr>
                <w:rFonts w:ascii="Times New Roman" w:hAnsi="Times New Roman"/>
                <w:b w:val="false"/>
                <w:bCs w:val="false"/>
                <w:i w:val="false"/>
                <w:iCs w:val="false"/>
                <w:strike w:val="false"/>
                <w:dstrike w:val="false"/>
                <w:outline w:val="false"/>
                <w:shadow w:val="false"/>
                <w:color w:val="00000A"/>
                <w:sz w:val="24"/>
                <w:szCs w:val="24"/>
                <w:u w:val="none"/>
              </w:rPr>
              <w:t>, 12</w:t>
            </w:r>
            <w:r>
              <w:rPr>
                <w:rFonts w:ascii="Times New Roman" w:hAnsi="Times New Roman"/>
                <w:b w:val="false"/>
                <w:bCs w:val="false"/>
                <w:i w:val="false"/>
                <w:iCs w:val="false"/>
                <w:strike w:val="false"/>
                <w:dstrike w:val="false"/>
                <w:outline w:val="false"/>
                <w:shadow w:val="false"/>
                <w:color w:val="00000A"/>
                <w:sz w:val="24"/>
                <w:szCs w:val="24"/>
                <w:u w:val="none"/>
              </w:rPr>
              <w:t>75</w:t>
            </w:r>
            <w:r>
              <w:rPr>
                <w:rFonts w:ascii="Times New Roman" w:hAnsi="Times New Roman"/>
                <w:b w:val="false"/>
                <w:bCs w:val="false"/>
                <w:i w:val="false"/>
                <w:iCs w:val="false"/>
                <w:strike w:val="false"/>
                <w:dstrike w:val="false"/>
                <w:outline w:val="false"/>
                <w:shadow w:val="false"/>
                <w:color w:val="00000A"/>
                <w:sz w:val="24"/>
                <w:szCs w:val="24"/>
                <w:u w:val="none"/>
              </w:rPr>
              <w:t xml:space="preserve">, </w:t>
            </w:r>
            <w:r>
              <w:rPr>
                <w:rStyle w:val="Slritalique"/>
                <w:rFonts w:ascii="Times New Roman" w:hAnsi="Times New Roman"/>
                <w:b w:val="false"/>
                <w:bCs w:val="false"/>
                <w:iCs w:val="false"/>
                <w:strike w:val="false"/>
                <w:dstrike w:val="false"/>
                <w:outline w:val="false"/>
                <w:shadow w:val="false"/>
                <w:color w:val="00000A"/>
                <w:sz w:val="24"/>
                <w:szCs w:val="24"/>
                <w:u w:val="none"/>
              </w:rPr>
              <w:t>CDH</w:t>
            </w:r>
          </w:p>
        </w:tc>
      </w:tr>
      <w:tr>
        <w:trPr/>
        <w:tc>
          <w:tcPr>
            <w:tcW w:w="566"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A"/>
                <w:sz w:val="24"/>
                <w:szCs w:val="24"/>
                <w:u w:val="none"/>
              </w:rPr>
            </w:pPr>
            <w:r>
              <w:rPr>
                <w:rFonts w:ascii="Times New Roman" w:hAnsi="Times New Roman"/>
                <w:b w:val="false"/>
                <w:bCs w:val="false"/>
                <w:i w:val="false"/>
                <w:iCs w:val="false"/>
                <w:strike w:val="false"/>
                <w:dstrike w:val="false"/>
                <w:outline w:val="false"/>
                <w:shadow w:val="false"/>
                <w:color w:val="00000A"/>
                <w:sz w:val="24"/>
                <w:szCs w:val="24"/>
                <w:u w:val="none"/>
              </w:rPr>
              <w:t>como si alguno</w:t>
            </w:r>
            <w:r>
              <w:rPr>
                <w:rStyle w:val="Slritalique"/>
                <w:rFonts w:ascii="Times New Roman" w:hAnsi="Times New Roman"/>
                <w:b w:val="false"/>
                <w:bCs w:val="false"/>
                <w:iCs/>
                <w:strike w:val="false"/>
                <w:dstrike w:val="false"/>
                <w:outline w:val="false"/>
                <w:shadow w:val="false"/>
                <w:color w:val="00000A"/>
                <w:sz w:val="24"/>
                <w:szCs w:val="24"/>
                <w:u w:val="none"/>
              </w:rPr>
              <w:t xml:space="preserve"> </w:t>
            </w:r>
            <w:commentRangeStart w:id="6"/>
            <w:r>
              <w:rPr>
                <w:rStyle w:val="Slritalique"/>
                <w:rFonts w:ascii="Times New Roman" w:hAnsi="Times New Roman"/>
                <w:b w:val="false"/>
                <w:bCs w:val="false"/>
                <w:iCs/>
                <w:strike w:val="false"/>
                <w:dstrike w:val="false"/>
                <w:outline w:val="false"/>
                <w:shadow w:val="false"/>
                <w:color w:val="00000A"/>
                <w:sz w:val="24"/>
                <w:szCs w:val="24"/>
                <w:u w:val="none"/>
              </w:rPr>
              <w:t>imaginasse</w:t>
            </w:r>
            <w:r>
              <w:rPr>
                <w:rFonts w:ascii="Times New Roman" w:hAnsi="Times New Roman"/>
                <w:b w:val="false"/>
                <w:bCs w:val="false"/>
                <w:i w:val="false"/>
                <w:iCs w:val="false"/>
                <w:strike w:val="false"/>
                <w:dstrike w:val="false"/>
                <w:outline w:val="false"/>
                <w:shadow w:val="false"/>
                <w:color w:val="00000A"/>
                <w:sz w:val="24"/>
                <w:szCs w:val="24"/>
                <w:u w:val="none"/>
              </w:rPr>
            </w:r>
            <w:commentRangeEnd w:id="6"/>
            <w:r>
              <w:commentReference w:id="6"/>
            </w:r>
            <w:r>
              <w:rPr>
                <w:rFonts w:ascii="Times New Roman" w:hAnsi="Times New Roman"/>
                <w:b w:val="false"/>
                <w:bCs w:val="false"/>
                <w:i w:val="false"/>
                <w:iCs w:val="false"/>
                <w:strike w:val="false"/>
                <w:dstrike w:val="false"/>
                <w:outline w:val="false"/>
                <w:shadow w:val="false"/>
                <w:color w:val="00000A"/>
                <w:sz w:val="24"/>
                <w:szCs w:val="24"/>
                <w:u w:val="none"/>
              </w:rPr>
              <w:t xml:space="preserve"> </w:t>
            </w:r>
            <w:r>
              <w:rPr>
                <w:rFonts w:ascii="Times New Roman" w:hAnsi="Times New Roman"/>
                <w:b w:val="false"/>
                <w:bCs w:val="false"/>
                <w:i w:val="false"/>
                <w:iCs w:val="false"/>
                <w:strike w:val="false"/>
                <w:dstrike w:val="false"/>
                <w:outline w:val="false"/>
                <w:shadow w:val="false"/>
                <w:color w:val="00000A"/>
                <w:sz w:val="24"/>
                <w:szCs w:val="24"/>
                <w:u w:val="none"/>
              </w:rPr>
              <w:t>cuerpo de omne</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7"/>
            </w:r>
            <w:r>
              <w:rPr>
                <w:b w:val="false"/>
                <w:bCs w:val="false"/>
                <w:i w:val="false"/>
                <w:iCs w:val="false"/>
                <w:strike w:val="false"/>
                <w:dstrike w:val="false"/>
                <w:outline w:val="false"/>
                <w:shadow w:val="false"/>
                <w:color w:val="000000"/>
                <w:sz w:val="24"/>
                <w:szCs w:val="24"/>
                <w:u w:val="none"/>
              </w:rPr>
              <w:t>(2)</w:t>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lang w:val="fr-FR"/>
              </w:rPr>
              <w:t>Alfonso X</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General Estoria. Primera parte</w:t>
            </w:r>
            <w:r>
              <w:rPr>
                <w:b w:val="false"/>
                <w:bCs w:val="false"/>
                <w:i w:val="false"/>
                <w:iCs w:val="false"/>
                <w:strike w:val="false"/>
                <w:dstrike w:val="false"/>
                <w:outline w:val="false"/>
                <w:shadow w:val="false"/>
                <w:color w:val="000000"/>
                <w:sz w:val="24"/>
                <w:szCs w:val="24"/>
                <w:u w:val="none"/>
                <w:lang w:val="fr-FR"/>
              </w:rPr>
              <w:t>, 12</w:t>
            </w:r>
            <w:r>
              <w:rPr>
                <w:b w:val="false"/>
                <w:bCs w:val="false"/>
                <w:i w:val="false"/>
                <w:iCs w:val="false"/>
                <w:strike w:val="false"/>
                <w:dstrike w:val="false"/>
                <w:outline w:val="false"/>
                <w:shadow w:val="false"/>
                <w:color w:val="000000"/>
                <w:sz w:val="24"/>
                <w:szCs w:val="24"/>
                <w:u w:val="none"/>
                <w:lang w:val="fr-FR"/>
              </w:rPr>
              <w:t>75</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CDH</w:t>
            </w:r>
          </w:p>
        </w:tc>
      </w:tr>
      <w:tr>
        <w:trPr/>
        <w:tc>
          <w:tcPr>
            <w:tcW w:w="566"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como si alguno imaginasse cuerpo de omne</w:t>
            </w:r>
          </w:p>
        </w:tc>
      </w:tr>
      <w:tr>
        <w:trPr/>
        <w:tc>
          <w:tcPr>
            <w:tcW w:w="566"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737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comme si quelqu'un imaginait le corps d'un homme'</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5"/>
        <w:gridCol w:w="1842"/>
        <w:gridCol w:w="1842"/>
        <w:gridCol w:w="1473"/>
        <w:gridCol w:w="2216"/>
      </w:tblGrid>
      <w:tr>
        <w:trPr/>
        <w:tc>
          <w:tcPr>
            <w:tcW w:w="56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8"/>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3</w:t>
            </w:r>
            <w:r>
              <w:rPr>
                <w:b w:val="false"/>
                <w:bCs w:val="false"/>
                <w:i w:val="false"/>
                <w:iCs w:val="false"/>
                <w:strike w:val="false"/>
                <w:dstrike w:val="false"/>
                <w:outline w:val="false"/>
                <w:shadow w:val="false"/>
                <w:color w:val="000000"/>
                <w:sz w:val="24"/>
                <w:szCs w:val="24"/>
                <w:u w:val="none"/>
              </w:rPr>
              <w:t>)</w:t>
            </w:r>
          </w:p>
        </w:tc>
        <w:tc>
          <w:tcPr>
            <w:tcW w:w="7373" w:type="dxa"/>
            <w:gridSpan w:val="4"/>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lang w:val="fr-FR"/>
              </w:rPr>
              <w:t>Alfonso X</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General Estoria. Primera parte</w:t>
            </w:r>
            <w:r>
              <w:rPr>
                <w:b w:val="false"/>
                <w:bCs w:val="false"/>
                <w:i w:val="false"/>
                <w:iCs w:val="false"/>
                <w:strike w:val="false"/>
                <w:dstrike w:val="false"/>
                <w:outline w:val="false"/>
                <w:shadow w:val="false"/>
                <w:color w:val="000000"/>
                <w:sz w:val="24"/>
                <w:szCs w:val="24"/>
                <w:u w:val="none"/>
                <w:lang w:val="fr-FR"/>
              </w:rPr>
              <w:t>, 12</w:t>
            </w:r>
            <w:r>
              <w:rPr>
                <w:b w:val="false"/>
                <w:bCs w:val="false"/>
                <w:i w:val="false"/>
                <w:iCs w:val="false"/>
                <w:strike w:val="false"/>
                <w:dstrike w:val="false"/>
                <w:outline w:val="false"/>
                <w:shadow w:val="false"/>
                <w:color w:val="000000"/>
                <w:sz w:val="24"/>
                <w:szCs w:val="24"/>
                <w:u w:val="none"/>
                <w:lang w:val="fr-FR"/>
              </w:rPr>
              <w:t>75</w:t>
            </w:r>
            <w:r>
              <w:rPr>
                <w:b w:val="false"/>
                <w:bCs w:val="false"/>
                <w:i w:val="false"/>
                <w:iCs w:val="false"/>
                <w:strike w:val="false"/>
                <w:dstrike w:val="false"/>
                <w:outline w:val="false"/>
                <w:shadow w:val="false"/>
                <w:color w:val="000000"/>
                <w:sz w:val="24"/>
                <w:szCs w:val="24"/>
                <w:u w:val="none"/>
                <w:lang w:val="fr-FR"/>
              </w:rPr>
              <w:t xml:space="preserve">, </w:t>
            </w:r>
            <w:r>
              <w:rPr>
                <w:rStyle w:val="Slritalique"/>
                <w:b w:val="false"/>
                <w:bCs w:val="false"/>
                <w:iCs w:val="false"/>
                <w:strike w:val="false"/>
                <w:dstrike w:val="false"/>
                <w:outline w:val="false"/>
                <w:shadow w:val="false"/>
                <w:color w:val="000000"/>
                <w:sz w:val="24"/>
                <w:szCs w:val="24"/>
                <w:u w:val="none"/>
                <w:lang w:val="fr-FR"/>
              </w:rPr>
              <w:t>CDH</w:t>
            </w:r>
          </w:p>
        </w:tc>
      </w:tr>
      <w:tr>
        <w:trPr/>
        <w:tc>
          <w:tcPr>
            <w:tcW w:w="565"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como si</w:t>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alguno</w:t>
            </w:r>
          </w:p>
        </w:tc>
        <w:tc>
          <w:tcPr>
            <w:tcW w:w="1473"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imaginasse</w:t>
            </w:r>
          </w:p>
        </w:tc>
        <w:tc>
          <w:tcPr>
            <w:tcW w:w="221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strike w:val="false"/>
                <w:dstrike w:val="false"/>
                <w:outline w:val="false"/>
                <w:shadow w:val="false"/>
                <w:color w:val="00000A"/>
                <w:sz w:val="24"/>
                <w:szCs w:val="24"/>
                <w:u w:val="none"/>
              </w:rPr>
              <w:t>c</w:t>
            </w:r>
            <w:r>
              <w:rPr>
                <w:rFonts w:ascii="Times New Roman" w:hAnsi="Times New Roman"/>
                <w:b w:val="false"/>
                <w:bCs w:val="false"/>
                <w:i w:val="false"/>
                <w:iCs/>
                <w:strike w:val="false"/>
                <w:dstrike w:val="false"/>
                <w:outline w:val="false"/>
                <w:shadow w:val="false"/>
                <w:color w:val="00000A"/>
                <w:sz w:val="24"/>
                <w:szCs w:val="24"/>
                <w:u w:val="none"/>
              </w:rPr>
              <w:t>uerpo de omne</w:t>
            </w:r>
          </w:p>
        </w:tc>
      </w:tr>
      <w:tr>
        <w:trPr/>
        <w:tc>
          <w:tcPr>
            <w:tcW w:w="565"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comme si</w:t>
            </w:r>
          </w:p>
        </w:tc>
        <w:tc>
          <w:tcPr>
            <w:tcW w:w="1842"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quelqu'un</w:t>
            </w:r>
          </w:p>
        </w:tc>
        <w:tc>
          <w:tcPr>
            <w:tcW w:w="1473"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imaginait</w:t>
            </w:r>
          </w:p>
        </w:tc>
        <w:tc>
          <w:tcPr>
            <w:tcW w:w="221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le corps d'un homme</w:t>
            </w:r>
          </w:p>
        </w:tc>
      </w:tr>
      <w:tr>
        <w:trPr/>
        <w:tc>
          <w:tcPr>
            <w:tcW w:w="565" w:type="dxa"/>
            <w:tcBorders/>
            <w:vAlign w:val="center"/>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7373" w:type="dxa"/>
            <w:gridSpan w:val="4"/>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comme si quelqu'un imaginait le corps d'un homme</w:t>
            </w:r>
            <w:r>
              <w:rPr>
                <w:b w:val="false"/>
                <w:bCs w:val="false"/>
                <w:i w:val="false"/>
                <w:iCs w:val="false"/>
                <w:strike w:val="false"/>
                <w:dstrike w:val="false"/>
                <w:outline w:val="false"/>
                <w:shadow w:val="false"/>
                <w:color w:val="000000"/>
                <w:sz w:val="24"/>
                <w:szCs w:val="24"/>
                <w:u w:val="none"/>
              </w:rPr>
              <w:t>'</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9"/>
            </w:r>
            <w:r>
              <w:rPr>
                <w:b w:val="false"/>
                <w:bCs w:val="false"/>
                <w:i w:val="false"/>
                <w:iCs w:val="false"/>
                <w:strike w:val="false"/>
                <w:dstrike w:val="false"/>
                <w:outline w:val="false"/>
                <w:shadow w:val="false"/>
                <w:color w:val="000000"/>
                <w:sz w:val="24"/>
                <w:szCs w:val="24"/>
                <w:u w:val="none"/>
              </w:rPr>
              <w:t>(4)</w:t>
            </w:r>
          </w:p>
        </w:tc>
        <w:tc>
          <w:tcPr>
            <w:tcW w:w="7372" w:type="dxa"/>
            <w:gridSpan w:val="2"/>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MB74, </w:t>
            </w:r>
            <w:r>
              <w:rPr>
                <w:rStyle w:val="Slritalique"/>
                <w:b w:val="false"/>
                <w:bCs w:val="false"/>
                <w:iCs w:val="false"/>
                <w:strike w:val="false"/>
                <w:dstrike w:val="false"/>
                <w:outline w:val="false"/>
                <w:shadow w:val="false"/>
                <w:color w:val="000000"/>
                <w:sz w:val="24"/>
                <w:szCs w:val="24"/>
                <w:u w:val="none"/>
              </w:rPr>
              <w:t>LIP</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stamattina pensi di farcela a far qualcosa_?</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w:t>
            </w:r>
            <w:r>
              <w:rPr>
                <w:b w:val="false"/>
                <w:bCs w:val="false"/>
                <w:i w:val="false"/>
                <w:iCs w:val="false"/>
                <w:strike w:val="false"/>
                <w:dstrike w:val="false"/>
                <w:outline w:val="false"/>
                <w:shadow w:val="false"/>
                <w:color w:val="000000"/>
                <w:sz w:val="24"/>
                <w:szCs w:val="24"/>
                <w:u w:val="none"/>
              </w:rPr>
              <w:t>h, spero</w:t>
            </w:r>
          </w:p>
        </w:tc>
      </w:tr>
    </w:tbl>
    <w:p>
      <w:pPr>
        <w:pStyle w:val="Slralineacontinuation"/>
        <w:rPr/>
      </w:pPr>
      <w:r>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commentReference w:id="10"/>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5</w:t>
            </w:r>
            <w:r>
              <w:rPr>
                <w:b w:val="false"/>
                <w:bCs w:val="false"/>
                <w:i w:val="false"/>
                <w:iCs w:val="false"/>
                <w:strike w:val="false"/>
                <w:dstrike w:val="false"/>
                <w:outline w:val="false"/>
                <w:shadow w:val="false"/>
                <w:color w:val="000000"/>
                <w:sz w:val="24"/>
                <w:szCs w:val="24"/>
                <w:u w:val="none"/>
              </w:rPr>
              <w:t>)</w:t>
            </w:r>
          </w:p>
        </w:tc>
        <w:tc>
          <w:tcPr>
            <w:tcW w:w="7372" w:type="dxa"/>
            <w:gridSpan w:val="2"/>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MB74, </w:t>
            </w:r>
            <w:r>
              <w:rPr>
                <w:rStyle w:val="Slritalique"/>
                <w:b w:val="false"/>
                <w:bCs w:val="false"/>
                <w:iCs w:val="false"/>
                <w:strike w:val="false"/>
                <w:dstrike w:val="false"/>
                <w:outline w:val="false"/>
                <w:shadow w:val="false"/>
                <w:color w:val="000000"/>
                <w:sz w:val="24"/>
                <w:szCs w:val="24"/>
                <w:u w:val="none"/>
              </w:rPr>
              <w:t>LIP</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stamattina pensi di farcela a far qualcosa_?</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'ce matin est-ce que tu penses </w:t>
            </w:r>
            <w:r>
              <w:rPr>
                <w:b w:val="false"/>
                <w:bCs w:val="false"/>
                <w:i w:val="false"/>
                <w:iCs w:val="false"/>
                <w:strike w:val="false"/>
                <w:dstrike w:val="false"/>
                <w:outline w:val="false"/>
                <w:shadow w:val="false"/>
                <w:color w:val="000000"/>
                <w:sz w:val="24"/>
                <w:szCs w:val="24"/>
                <w:u w:val="none"/>
              </w:rPr>
              <w:t>réussir à faire quelque chose ?'</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 :</w:t>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w:t>
            </w:r>
            <w:r>
              <w:rPr>
                <w:b w:val="false"/>
                <w:bCs w:val="false"/>
                <w:i w:val="false"/>
                <w:iCs w:val="false"/>
                <w:strike w:val="false"/>
                <w:dstrike w:val="false"/>
                <w:outline w:val="false"/>
                <w:shadow w:val="false"/>
                <w:color w:val="000000"/>
                <w:sz w:val="24"/>
                <w:szCs w:val="24"/>
                <w:u w:val="none"/>
              </w:rPr>
              <w:t>h, spero</w:t>
            </w:r>
          </w:p>
        </w:tc>
      </w:tr>
      <w:tr>
        <w:trPr/>
        <w:tc>
          <w:tcPr>
            <w:tcW w:w="566"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567"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6805" w:type="dxa"/>
            <w:tcBorders/>
          </w:tcPr>
          <w:p>
            <w:pPr>
              <w:pStyle w:val="Slralineacontinuation"/>
              <w:jc w:val="both"/>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'j'espère'</w:t>
            </w:r>
          </w:p>
        </w:tc>
      </w:tr>
    </w:tbl>
    <w:p>
      <w:pPr>
        <w:pStyle w:val="Slralineacontinuation"/>
        <w:rPr/>
      </w:pPr>
      <w:r>
        <w:rPr/>
      </w:r>
    </w:p>
    <w:p>
      <w:pPr>
        <w:pStyle w:val="Slralineacontinuation"/>
        <w:rPr/>
      </w:pPr>
      <w:r>
        <w:rPr>
          <w:lang w:val="fr-FR"/>
        </w:rPr>
        <w:t>C</w:t>
      </w:r>
      <w:r>
        <w:rPr>
          <w:lang w:val="fr-FR"/>
        </w:rPr>
        <w:t>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3</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all.</w:t>
      </w:r>
      <w:r>
        <w:rPr>
          <w:lang w:val="fr-FR"/>
        </w:rPr>
        <w:t xml:space="preserve"> </w:t>
      </w:r>
      <w:commentRangeStart w:id="11"/>
      <w:r>
        <w:rPr>
          <w:rStyle w:val="Slritalique"/>
          <w:iCs/>
        </w:rPr>
        <w:t>Bauchsch</w:t>
      </w:r>
      <w:r>
        <w:rPr>
          <w:rStyle w:val="Slritalique"/>
          <w:iCs/>
        </w:rPr>
        <w:t>m</w:t>
      </w:r>
      <w:r>
        <w:rPr>
          <w:rStyle w:val="Slritalique"/>
          <w:iCs/>
        </w:rPr>
        <w:t>erzen</w:t>
      </w:r>
      <w:r>
        <w:rPr/>
      </w:r>
      <w:commentRangeEnd w:id="11"/>
      <w:r>
        <w:commentReference w:id="11"/>
      </w:r>
      <w:r>
        <w:rPr>
          <w:lang w:val="fr-FR"/>
        </w:rPr>
        <w:t xml:space="preserve"> </w:t>
      </w:r>
      <w:commentRangeStart w:id="12"/>
      <w:r>
        <w:rPr>
          <w:lang w:val="fr-FR"/>
        </w:rPr>
        <w:t>'mal de ventre'</w:t>
      </w:r>
      <w:r>
        <w:rPr/>
      </w:r>
      <w:commentRangeEnd w:id="12"/>
      <w:r>
        <w:commentReference w:id="12"/>
      </w:r>
      <w:r>
        <w:rPr>
          <w:lang w:val="fr-FR"/>
        </w:rPr>
        <w:t xml:space="preserve"> ou</w:t>
      </w:r>
      <w:r>
        <w:rPr>
          <w:lang w:val="fr-FR"/>
        </w:rPr>
        <w:t xml:space="preserve"> </w:t>
      </w:r>
      <w:r>
        <w:rPr>
          <w:lang w:val="fr-FR"/>
        </w:rPr>
        <w:t xml:space="preserve">angl. </w:t>
      </w:r>
      <w:r>
        <w:rPr>
          <w:rStyle w:val="Slritalique"/>
          <w:iCs/>
        </w:rPr>
        <w:t>toothbrush</w:t>
      </w:r>
      <w:r>
        <w:rPr>
          <w:lang w:val="fr-FR"/>
        </w:rPr>
        <w:t xml:space="preserve"> '</w:t>
      </w:r>
      <w:r>
        <w:rPr>
          <w:lang w:val="fr-FR"/>
        </w:rPr>
        <w:t>brosse à dents</w:t>
      </w:r>
      <w:r>
        <w:rPr>
          <w:lang w:val="fr-FR"/>
        </w:rPr>
        <w:t>' (</w:t>
      </w:r>
      <w:r>
        <w:rPr>
          <w:lang w:val="fr-FR"/>
        </w:rPr>
        <w:t xml:space="preserve">Hooper 1975 ; Slobin 1996 ; Ackema </w:t>
      </w:r>
      <w:commentRangeStart w:id="13"/>
      <w:r>
        <w:rPr>
          <w:lang w:val="fr-FR"/>
        </w:rPr>
        <w:t>&amp;</w:t>
      </w:r>
      <w:r>
        <w:rPr/>
      </w:r>
      <w:commentRangeEnd w:id="13"/>
      <w:r>
        <w:commentReference w:id="13"/>
      </w:r>
      <w:r>
        <w:rPr>
          <w:lang w:val="fr-FR"/>
        </w:rPr>
        <w:t xml:space="preserve"> Neeleman 2004</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(it. </w:t>
      </w:r>
      <w:r>
        <w:rPr>
          <w:rStyle w:val="Slritalique"/>
          <w:iCs/>
        </w:rPr>
        <w:t>treno merci</w:t>
      </w:r>
      <w:r>
        <w:rPr>
          <w:lang w:val="fr-FR"/>
        </w:rPr>
        <w:t xml:space="preserve"> '</w:t>
      </w:r>
      <w:r>
        <w:rPr>
          <w:lang w:val="fr-FR"/>
        </w:rPr>
        <w:t>train de marchandises</w:t>
      </w:r>
      <w:r>
        <w:rPr>
          <w:lang w:val="fr-FR"/>
        </w:rPr>
        <w:t>').</w:t>
      </w:r>
    </w:p>
    <w:p>
      <w:pPr>
        <w:pStyle w:val="Slrtitresectionniveau1"/>
        <w:ind w:left="567" w:right="0" w:hanging="567"/>
        <w:rPr/>
      </w:pPr>
      <w:bookmarkStart w:id="3" w:name="__RefHeading___Toc3178_528085325"/>
      <w:bookmarkEnd w:id="3"/>
      <w:r>
        <w:rPr/>
        <w:t>2</w:t>
        <w:tab/>
      </w:r>
      <w:r>
        <w:rPr/>
        <w:t>Titre de section niveau 1</w:t>
      </w:r>
    </w:p>
    <w:p>
      <w:pPr>
        <w:pStyle w:val="Slrtitresectionniveau2"/>
        <w:ind w:left="567" w:right="0" w:hanging="567"/>
        <w:rPr/>
      </w:pPr>
      <w:bookmarkStart w:id="4" w:name="__RefHeading___Toc3180_528085325"/>
      <w:bookmarkEnd w:id="4"/>
      <w:r>
        <w:rPr/>
        <w:t>2.1</w:t>
        <w:tab/>
      </w:r>
      <w:r>
        <w:rPr/>
        <w:t>Titre de section niveau 2</w:t>
      </w:r>
    </w:p>
    <w:p>
      <w:pPr>
        <w:pStyle w:val="Slralinea"/>
        <w:ind w:left="0" w:right="0" w:firstLine="567"/>
        <w:rPr/>
      </w:pPr>
      <w:r>
        <w:rPr>
          <w:lang w:val="fr-FR"/>
        </w:rPr>
        <w:t>[</w:t>
      </w:r>
      <w:r>
        <w:rPr>
          <w:lang w:val="fr-FR"/>
        </w:rPr>
        <w:fldChar w:fldCharType="begin"/>
      </w:r>
      <w:r>
        <w:rPr>
          <w:lang w:val="fr-FR"/>
        </w:rPr>
        <w:instrText> SEQ Alinea \* ARABIC </w:instrText>
      </w:r>
      <w:r>
        <w:rPr>
          <w:lang w:val="fr-FR"/>
        </w:rPr>
        <w:fldChar w:fldCharType="separate"/>
      </w:r>
      <w:r>
        <w:rPr>
          <w:lang w:val="fr-FR"/>
        </w:rPr>
        <w:t>4</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xml:space="preserve">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 xml:space="preserve">Berschin, Fernández-Sevilla </w:t>
      </w:r>
      <w:r>
        <w:rPr>
          <w:lang w:val="fr-FR"/>
        </w:rPr>
        <w:t xml:space="preserve">&amp; </w:t>
      </w:r>
      <w:r>
        <w:rPr>
          <w:lang w:val="fr-FR"/>
        </w:rPr>
        <w:t xml:space="preserve">Felixberger </w:t>
      </w:r>
      <w:r>
        <w:rPr>
          <w:lang w:val="fr-FR"/>
        </w:rPr>
        <w:t>(</w:t>
      </w:r>
      <w:r>
        <w:rPr>
          <w:lang w:val="fr-FR"/>
        </w:rPr>
        <w:t>2012</w:t>
      </w:r>
      <w:r>
        <w:rPr>
          <w:lang w:val="fr-FR"/>
        </w:rPr>
        <w:t xml:space="preserve">) </w:t>
      </w:r>
      <w:r>
        <w:rPr>
          <w:lang w:val="fr-FR"/>
        </w:rPr>
        <w:t>a</w:t>
      </w:r>
      <w:r>
        <w:rPr>
          <w:lang w:val="fr-FR"/>
        </w:rPr>
        <w:t>linéa</w:t>
      </w:r>
      <w:r>
        <w:rPr>
          <w:lang w:val="fr-FR"/>
        </w:rPr>
        <w:t xml:space="preserve"> numéroté</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w:t>
      </w:r>
      <w:r>
        <w:rPr/>
        <w:t xml:space="preserve">(Hamers &amp; Blanc 2000 </w:t>
      </w:r>
      <w:commentRangeStart w:id="14"/>
      <w:r>
        <w:rPr/>
        <w:t>[1983]</w:t>
      </w:r>
      <w:r>
        <w:rPr/>
      </w:r>
      <w:commentRangeEnd w:id="14"/>
      <w:r>
        <w:commentReference w:id="14"/>
      </w:r>
      <w:r>
        <w:rPr>
          <w:lang w:val="fr-FR"/>
        </w:rPr>
        <w:t> </w:t>
      </w:r>
      <w:r>
        <w:rPr/>
        <w:t>: 195</w:t>
      </w:r>
      <w:r>
        <w:rPr/>
        <w:t xml:space="preserve">). </w:t>
      </w:r>
      <w:r>
        <w:rPr>
          <w:lang w:val="fr-FR"/>
        </w:rPr>
        <w:t>Alinéa</w:t>
      </w:r>
      <w:r>
        <w:rPr>
          <w:lang w:val="fr-FR"/>
        </w:rPr>
        <w:t xml:space="preserve"> numéroté</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5</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 xml:space="preserve">(Du Cange </w:t>
      </w:r>
      <w:commentRangeStart w:id="15"/>
      <w:r>
        <w:rPr>
          <w:lang w:val="fr-FR"/>
        </w:rPr>
        <w:t>et al.</w:t>
      </w:r>
      <w:r>
        <w:rPr/>
      </w:r>
      <w:commentRangeEnd w:id="15"/>
      <w:r>
        <w:commentReference w:id="15"/>
      </w:r>
      <w:r>
        <w:rPr>
          <w:lang w:val="fr-FR"/>
        </w:rPr>
        <w:t xml:space="preserve"> 1883-1887 [1678])</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w:t>
      </w:r>
    </w:p>
    <w:p>
      <w:pPr>
        <w:pStyle w:val="Slrcitation"/>
        <w:rPr/>
      </w:pPr>
      <w:r>
        <w:rPr/>
        <w:t>Citation de plus de trois lignes, en Times New Roman, avec une police de 10 points et une interligne de 0,42 cm. Citation de plus de trois lignes, en Times New Roman, avec une police de 10 points et une interligne de 0,42 cm. Citation de plus de trois lignes, en Times New Roman, avec une police de 10 points et une interligne de 0,42 cm.</w:t>
      </w:r>
      <w:r>
        <w:rPr/>
        <w:t xml:space="preserve"> (</w:t>
      </w:r>
      <w:r>
        <w:rPr/>
        <w:t>Caffi</w:t>
      </w:r>
      <w:r>
        <w:rPr/>
        <w:t xml:space="preserve"> 19</w:t>
      </w:r>
      <w:r>
        <w:rPr/>
        <w:t>99</w:t>
      </w:r>
      <w:r>
        <w:rPr>
          <w:b w:val="false"/>
          <w:i w:val="false"/>
          <w:sz w:val="24"/>
          <w:szCs w:val="24"/>
        </w:rPr>
        <w:t> </w:t>
      </w:r>
      <w:r>
        <w:rPr/>
        <w:t xml:space="preserve">: </w:t>
      </w:r>
      <w:r>
        <w:rPr/>
        <w:t>88</w:t>
      </w:r>
      <w:r>
        <w:rPr/>
        <w:t>3)</w:t>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commentRangeStart w:id="16"/>
      <w:r>
        <w:rPr>
          <w:lang w:val="fr-FR"/>
        </w:rPr>
        <w:t>É</w:t>
      </w:r>
      <w:r>
        <w:rPr/>
      </w:r>
      <w:commentRangeEnd w:id="16"/>
      <w:r>
        <w:commentReference w:id="16"/>
      </w:r>
      <w:r>
        <w:rPr>
          <w:lang w:val="fr-FR"/>
        </w:rPr>
        <w:t>laboration, c</w:t>
      </w:r>
      <w:r>
        <w:rPr>
          <w:lang w:val="fr-FR"/>
        </w:rPr>
        <w:t>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w:t>
      </w:r>
      <w:r>
        <w:rPr/>
        <w:t>(Benveniste 1966 [1958] </w:t>
      </w:r>
      <w:commentRangeStart w:id="17"/>
      <w:r>
        <w:rPr>
          <w:b w:val="false"/>
          <w:i w:val="false"/>
          <w:sz w:val="24"/>
          <w:szCs w:val="24"/>
        </w:rPr>
        <w:t>;</w:t>
      </w:r>
      <w:r>
        <w:rPr/>
      </w:r>
      <w:commentRangeEnd w:id="17"/>
      <w:r>
        <w:commentReference w:id="17"/>
      </w:r>
      <w:r>
        <w:rPr>
          <w:b w:val="false"/>
          <w:i w:val="false"/>
          <w:sz w:val="24"/>
          <w:szCs w:val="24"/>
        </w:rPr>
        <w:t xml:space="preserve"> Andersen 1997</w:t>
      </w:r>
      <w:r>
        <w:rPr/>
        <w:t>).</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6</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dans</w:t>
      </w:r>
      <w:r>
        <w:rPr>
          <w:lang w:val="fr-FR"/>
        </w:rPr>
        <w:t xml:space="preserve"> (1) </w:t>
      </w:r>
      <w:r>
        <w:rPr>
          <w:lang w:val="fr-FR"/>
        </w:rPr>
        <w:t>on voit</w:t>
      </w:r>
      <w:r>
        <w:rPr>
          <w:lang w:val="fr-FR"/>
        </w:rPr>
        <w:t xml:space="preserve"> </w:t>
      </w:r>
      <w:r>
        <w:rPr>
          <w:lang w:val="fr-FR"/>
        </w:rPr>
        <w:t xml:space="preserve">que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w:t>
      </w:r>
      <w:commentRangeStart w:id="18"/>
      <w:r>
        <w:rPr>
          <w:rStyle w:val="Slrnumeronote"/>
          <w:rStyle w:val="FootnoteAnchor"/>
        </w:rPr>
        <w:footnoteReference w:id="2"/>
      </w:r>
      <w:r>
        <w:rPr/>
      </w:r>
      <w:commentRangeEnd w:id="18"/>
      <w:r>
        <w:commentReference w:id="18"/>
      </w:r>
      <w:r>
        <w:rPr/>
        <w:t xml:space="preserve">. </w:t>
      </w:r>
      <w:r>
        <w:rPr/>
        <w:t>Alinéa</w:t>
      </w:r>
      <w:r>
        <w:rPr>
          <w:lang w:val="fr-FR"/>
        </w:rPr>
        <w:t xml:space="preserve"> numéroté</w:t>
      </w:r>
      <w: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(Bazzanella 2003a</w:t>
      </w:r>
      <w:commentRangeStart w:id="19"/>
      <w:r>
        <w:rPr>
          <w:lang w:val="fr-FR"/>
        </w:rPr>
        <w:t>,</w:t>
      </w:r>
      <w:r>
        <w:rPr/>
      </w:r>
      <w:commentRangeEnd w:id="19"/>
      <w:r>
        <w:commentReference w:id="19"/>
      </w:r>
      <w:r>
        <w:rPr>
          <w:lang w:val="fr-FR"/>
        </w:rPr>
        <w:t xml:space="preserve"> 2003b)</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continuation"/>
        <w:rPr/>
      </w:pPr>
      <w:r>
        <w:rPr/>
      </w:r>
    </w:p>
    <w:p>
      <w:pPr>
        <w:pStyle w:val="Slralineacontinuation"/>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040630" cy="16179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040630" cy="1617980"/>
                    </a:xfrm>
                    <a:prstGeom prst="rect">
                      <a:avLst/>
                    </a:prstGeom>
                  </pic:spPr>
                </pic:pic>
              </a:graphicData>
            </a:graphic>
          </wp:anchor>
        </w:drawing>
      </w:r>
    </w:p>
    <w:p>
      <w:pPr>
        <w:pStyle w:val="Slrfiguretableaulegende"/>
        <w:rPr/>
      </w:pPr>
      <w:commentRangeStart w:id="20"/>
      <w:r>
        <w:rPr/>
        <w:t xml:space="preserve">Figure 1 : </w:t>
      </w:r>
      <w:r>
        <w:rPr/>
        <w:t>Légende</w:t>
      </w:r>
      <w:commentRangeEnd w:id="20"/>
      <w:r>
        <w:commentReference w:id="20"/>
      </w:r>
      <w:r>
        <w:rPr/>
      </w:r>
    </w:p>
    <w:p>
      <w:pPr>
        <w:pStyle w:val="Slralineacontinuation"/>
        <w:rPr/>
      </w:pPr>
      <w:r>
        <w:rPr/>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titresectionniveau2"/>
        <w:ind w:left="567" w:right="0" w:hanging="567"/>
        <w:rPr/>
      </w:pPr>
      <w:bookmarkStart w:id="5" w:name="__RefHeading___Toc3182_528085325"/>
      <w:bookmarkEnd w:id="5"/>
      <w:r>
        <w:rPr/>
        <w:t>2.2</w:t>
        <w:tab/>
      </w:r>
      <w:r>
        <w:rPr/>
        <w:t>Titre de section niveau 2</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7</w:t>
      </w:r>
      <w:r>
        <w:rPr>
          <w:lang w:val="fr-FR"/>
        </w:rPr>
        <w:fldChar w:fldCharType="end"/>
      </w:r>
      <w:r>
        <w:rPr>
          <w:lang w:val="fr-FR"/>
        </w:rPr>
        <w:t xml:space="preserve">] </w:t>
      </w:r>
      <w:r>
        <w:rPr/>
        <w:t>Austin</w:t>
      </w:r>
      <w:r>
        <w:rPr/>
        <w:t xml:space="preserve"> (19</w:t>
      </w:r>
      <w:r>
        <w:rPr/>
        <w:t>76 [1962]</w:t>
      </w:r>
      <w:r>
        <w:rPr>
          <w:b w:val="false"/>
          <w:i w:val="false"/>
          <w:sz w:val="24"/>
          <w:szCs w:val="24"/>
        </w:rPr>
        <w:t> </w:t>
      </w:r>
      <w:r>
        <w:rPr/>
        <w:t xml:space="preserve">: 176) </w:t>
      </w:r>
      <w:r>
        <w:rPr/>
        <w:t>affirme que</w:t>
      </w:r>
      <w:r>
        <w:rPr/>
        <w:t xml:space="preserve"> « </w:t>
      </w:r>
      <w:r>
        <w:rPr/>
        <w:t>citation brève jusqu'à trois lignes</w:t>
      </w:r>
      <w:r>
        <w:rPr/>
        <w:t xml:space="preserve"> ».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tbl>
      <w:tblPr>
        <w:tblW w:w="7928" w:type="dxa"/>
        <w:jc w:val="left"/>
        <w:tblInd w:w="108" w:type="dxa"/>
        <w:tblCellMar>
          <w:top w:w="0" w:type="dxa"/>
          <w:left w:w="113" w:type="dxa"/>
          <w:bottom w:w="0" w:type="dxa"/>
          <w:right w:w="108" w:type="dxa"/>
        </w:tblCellMar>
      </w:tblPr>
      <w:tblGrid>
        <w:gridCol w:w="1321"/>
        <w:gridCol w:w="1321"/>
        <w:gridCol w:w="1321"/>
        <w:gridCol w:w="1320"/>
        <w:gridCol w:w="1232"/>
        <w:gridCol w:w="1413"/>
      </w:tblGrid>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commentRangeStart w:id="21"/>
            <w:r>
              <w:rPr>
                <w:rStyle w:val="Slrgras"/>
              </w:rPr>
              <w:t>Corpus</w:t>
            </w:r>
            <w:commentRangeEnd w:id="21"/>
            <w:r>
              <w:commentReference w:id="21"/>
            </w:r>
            <w:r>
              <w:rPr/>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Nbre mots</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sz w:val="20"/>
              </w:rPr>
              <w:t xml:space="preserve">Occ. </w:t>
            </w:r>
            <w:commentRangeStart w:id="22"/>
            <w:r>
              <w:rPr>
                <w:rStyle w:val="Slrgrasitalique"/>
              </w:rPr>
              <w:t>quoi</w:t>
            </w:r>
            <w:commentRangeEnd w:id="22"/>
            <w:r>
              <w:commentReference w:id="22"/>
            </w:r>
            <w:r>
              <w:rPr/>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Proforme</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Locution</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gras"/>
              </w:rPr>
              <w:t>Particules</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CORPAIX</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1050000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2449</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466 (19%)</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102 (4%)</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1728 (70%)</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CRFP</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440000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1486</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246 (16%)</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70 (4%)</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1134 (76%)</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SegCor</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20900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76</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41 (51%)</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1 (1%)</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34 (45%)</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CFPQ</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688000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1108</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999 (90%)</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97 (8%)</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12   (1%)</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rStyle w:val="Slritalique"/>
              </w:rPr>
              <w:t>OFROM</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1005000</w:t>
            </w:r>
          </w:p>
        </w:tc>
        <w:tc>
          <w:tcPr>
            <w:tcW w:w="1321" w:type="dxa"/>
            <w:tcBorders>
              <w:top w:val="single" w:sz="4" w:space="0" w:color="000000"/>
              <w:left w:val="single" w:sz="4" w:space="0" w:color="000000"/>
              <w:bottom w:val="single" w:sz="4" w:space="0" w:color="000000"/>
              <w:right w:val="single" w:sz="4" w:space="0" w:color="000000"/>
            </w:tcBorders>
          </w:tcPr>
          <w:p>
            <w:pPr>
              <w:pStyle w:val="Slrtableaudonnees"/>
              <w:rPr/>
            </w:pPr>
            <w:r>
              <w:rPr/>
              <w:t>3057</w:t>
            </w:r>
          </w:p>
        </w:tc>
        <w:tc>
          <w:tcPr>
            <w:tcW w:w="1320" w:type="dxa"/>
            <w:tcBorders>
              <w:top w:val="single" w:sz="4" w:space="0" w:color="000000"/>
              <w:left w:val="single" w:sz="4" w:space="0" w:color="000000"/>
              <w:bottom w:val="single" w:sz="4" w:space="0" w:color="000000"/>
              <w:right w:val="single" w:sz="4" w:space="0" w:color="000000"/>
            </w:tcBorders>
          </w:tcPr>
          <w:p>
            <w:pPr>
              <w:pStyle w:val="Slrtableaudonnees"/>
              <w:rPr/>
            </w:pPr>
            <w:r>
              <w:rPr/>
              <w:t>705 (23%)</w:t>
            </w:r>
          </w:p>
        </w:tc>
        <w:tc>
          <w:tcPr>
            <w:tcW w:w="1232" w:type="dxa"/>
            <w:tcBorders>
              <w:top w:val="single" w:sz="4" w:space="0" w:color="000000"/>
              <w:left w:val="single" w:sz="4" w:space="0" w:color="000000"/>
              <w:bottom w:val="single" w:sz="4" w:space="0" w:color="000000"/>
              <w:right w:val="single" w:sz="4" w:space="0" w:color="000000"/>
            </w:tcBorders>
          </w:tcPr>
          <w:p>
            <w:pPr>
              <w:pStyle w:val="Slrtableaudonnees"/>
              <w:rPr/>
            </w:pPr>
            <w:r>
              <w:rPr/>
              <w:t>101 (3%)</w:t>
            </w:r>
          </w:p>
        </w:tc>
        <w:tc>
          <w:tcPr>
            <w:tcW w:w="1413" w:type="dxa"/>
            <w:tcBorders>
              <w:top w:val="single" w:sz="4" w:space="0" w:color="000000"/>
              <w:left w:val="single" w:sz="4" w:space="0" w:color="000000"/>
              <w:bottom w:val="single" w:sz="4" w:space="0" w:color="000000"/>
              <w:right w:val="single" w:sz="4" w:space="0" w:color="000000"/>
            </w:tcBorders>
          </w:tcPr>
          <w:p>
            <w:pPr>
              <w:pStyle w:val="Slrtableaudonnees"/>
              <w:rPr/>
            </w:pPr>
            <w:r>
              <w:rPr/>
              <w:t>2251 (74%)</w:t>
            </w:r>
            <w:r>
              <w:rPr/>
              <w:commentReference w:id="23"/>
            </w:r>
          </w:p>
        </w:tc>
      </w:tr>
    </w:tbl>
    <w:p>
      <w:pPr>
        <w:pStyle w:val="Slralineacontinuation"/>
        <w:rPr/>
      </w:pPr>
      <w:r>
        <w:rPr/>
      </w:r>
    </w:p>
    <w:p>
      <w:pPr>
        <w:pStyle w:val="Slrfiguretableaulegende"/>
        <w:rPr/>
      </w:pPr>
      <w:r>
        <w:rPr/>
        <w:t xml:space="preserve">Tableau </w:t>
      </w:r>
      <w:commentRangeStart w:id="24"/>
      <w:r>
        <w:rPr/>
        <w:t>1</w:t>
      </w:r>
      <w:r>
        <w:rPr/>
      </w:r>
      <w:commentRangeEnd w:id="24"/>
      <w:r>
        <w:commentReference w:id="24"/>
      </w:r>
      <w:r>
        <w:rPr/>
        <w:t xml:space="preserve"> : </w:t>
      </w:r>
      <w:r>
        <w:rPr/>
        <w:t>Légende</w:t>
      </w:r>
    </w:p>
    <w:p>
      <w:pPr>
        <w:pStyle w:val="Slralineacontinuation"/>
        <w:rPr/>
      </w:pPr>
      <w:r>
        <w:rPr/>
      </w:r>
    </w:p>
    <w:p>
      <w:pPr>
        <w:pStyle w:val="Slralineacontinuation"/>
        <w:rPr/>
      </w:pPr>
      <w:r>
        <w:rPr>
          <w:lang w:val="fr-FR"/>
        </w:rPr>
        <w:t>Continuation d</w:t>
      </w:r>
      <w:r>
        <w:rPr>
          <w:lang w:val="fr-FR"/>
        </w:rPr>
        <w:t xml:space="preserve">'alinéa </w:t>
      </w:r>
      <w:r>
        <w:rPr>
          <w:lang w:val="fr-FR"/>
        </w:rPr>
        <w:t>(Bartkova, Bastien &amp; Dargnat 2016)</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titresectionniveau3"/>
        <w:ind w:left="567" w:right="0" w:hanging="567"/>
        <w:rPr/>
      </w:pPr>
      <w:bookmarkStart w:id="6" w:name="__RefHeading___Toc3184_528085325"/>
      <w:bookmarkEnd w:id="6"/>
      <w:r>
        <w:rPr/>
        <w:t>2.2.</w:t>
      </w:r>
      <w:r>
        <w:rPr/>
        <w:t>1</w:t>
      </w:r>
      <w:r>
        <w:rPr/>
        <w:tab/>
      </w:r>
      <w:r>
        <w:rPr/>
        <w:t>Titre de section niveau 3</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8</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t>interligne</w:t>
      </w:r>
      <w:r>
        <w:rPr>
          <w:lang w:val="fr-FR"/>
        </w:rPr>
        <w:t xml:space="preserv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9</w:t>
      </w:r>
      <w:r>
        <w:rPr>
          <w:lang w:val="fr-FR"/>
        </w:rPr>
        <w:fldChar w:fldCharType="end"/>
      </w:r>
      <w:r>
        <w:rPr>
          <w:lang w:val="fr-FR"/>
        </w:rPr>
        <w:t xml:space="preserve">] </w:t>
      </w:r>
      <w:r>
        <w:rPr/>
        <w:t>Alinéa numéroté, avec retrait de la première ligne, en Times New Roman, avec un police de 12 points et une interligne de 0,49 cm. Alinéa numéroté, avec retrait de la première ligne (Molina Martos 2017), en Times New Roman, avec une police de 12 points et une interligne de 0,49 cm :</w:t>
      </w:r>
    </w:p>
    <w:p>
      <w:pPr>
        <w:pStyle w:val="Slrliste"/>
        <w:rPr/>
      </w:pPr>
      <w:r>
        <w:rPr>
          <w:lang w:val="fr-FR"/>
        </w:rPr>
        <w:t>1.</w:t>
        <w:tab/>
      </w:r>
      <w:r>
        <w:rPr>
          <w:lang w:val="fr-FR"/>
        </w:rPr>
        <w:t xml:space="preserve">Liste, </w:t>
      </w:r>
      <w:r>
        <w:rPr>
          <w:lang w:val="fr-FR"/>
        </w:rPr>
        <w:t xml:space="preserve">en </w:t>
      </w:r>
      <w:r>
        <w:rPr>
          <w:lang w:val="fr-FR"/>
        </w:rPr>
        <w:t>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liste"/>
        <w:rPr/>
      </w:pPr>
      <w:r>
        <w:rPr>
          <w:lang w:val="fr-FR"/>
        </w:rPr>
        <w:t>2.</w:t>
        <w:tab/>
      </w:r>
      <w:r>
        <w:rPr>
          <w:lang w:val="fr-FR"/>
        </w:rPr>
        <w:t xml:space="preserve">Liste, </w:t>
      </w:r>
      <w:r>
        <w:rPr>
          <w:lang w:val="fr-FR"/>
        </w:rPr>
        <w:t>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liste"/>
        <w:rPr/>
      </w:pPr>
      <w:r>
        <w:rPr>
          <w:lang w:val="fr-FR"/>
        </w:rPr>
        <w:t>3.</w:t>
        <w:tab/>
      </w:r>
      <w:r>
        <w:rPr>
          <w:lang w:val="fr-FR"/>
        </w:rPr>
        <w:t xml:space="preserve">Liste, </w:t>
      </w:r>
      <w:r>
        <w:rPr>
          <w:lang w:val="fr-FR"/>
        </w:rPr>
        <w:t>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titresectionniveau3"/>
        <w:ind w:left="567" w:right="0" w:hanging="567"/>
        <w:rPr/>
      </w:pPr>
      <w:bookmarkStart w:id="7" w:name="__RefHeading___Toc3186_528085325"/>
      <w:bookmarkEnd w:id="7"/>
      <w:r>
        <w:rPr>
          <w:lang w:val="fr-FR"/>
        </w:rPr>
        <w:t>2.2.</w:t>
      </w:r>
      <w:r>
        <w:rPr>
          <w:lang w:val="fr-FR"/>
        </w:rPr>
        <w:t>2</w:t>
      </w:r>
      <w:r>
        <w:rPr>
          <w:lang w:val="fr-FR"/>
        </w:rPr>
        <w:tab/>
      </w:r>
      <w:r>
        <w:rPr>
          <w:lang w:val="fr-FR"/>
        </w:rPr>
        <w:t xml:space="preserve">Titre de </w:t>
      </w:r>
      <w:r>
        <w:rPr>
          <w:lang w:val="fr-FR"/>
        </w:rPr>
        <w:t xml:space="preserve">section </w:t>
      </w:r>
      <w:r>
        <w:rPr>
          <w:lang w:val="fr-FR"/>
        </w:rPr>
        <w:t>niveau 3</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10</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(Parussa, à paraître)</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titresectionniveau4"/>
        <w:rPr/>
      </w:pPr>
      <w:bookmarkStart w:id="8" w:name="__RefHeading___Toc3188_528085325"/>
      <w:bookmarkEnd w:id="8"/>
      <w:r>
        <w:rPr>
          <w:lang w:val="fr-FR"/>
        </w:rPr>
        <w:t>2.</w:t>
      </w:r>
      <w:r>
        <w:rPr>
          <w:lang w:val="fr-FR"/>
        </w:rPr>
        <w:t>2.2.1</w:t>
        <w:tab/>
        <w:t>Titre de section niveau 4</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11</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(Parussa, à paraître)</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titresectionniveau4"/>
        <w:rPr/>
      </w:pPr>
      <w:bookmarkStart w:id="9" w:name="__RefHeading___Toc3190_528085325"/>
      <w:bookmarkEnd w:id="9"/>
      <w:r>
        <w:rPr>
          <w:lang w:val="fr-FR"/>
        </w:rPr>
        <w:t>2.</w:t>
      </w:r>
      <w:r>
        <w:rPr>
          <w:lang w:val="fr-FR"/>
        </w:rPr>
        <w:t>2.2.2</w:t>
        <w:tab/>
        <w:t>Titre de section niveau 4</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12</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(Parussa, à paraître)</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w:t>
      </w:r>
      <w:r>
        <w:rPr>
          <w:lang w:val="fr-FR"/>
        </w:rPr>
        <w:fldChar w:fldCharType="begin"/>
      </w:r>
      <w:r>
        <w:rPr>
          <w:lang w:val="fr-FR"/>
        </w:rPr>
        <w:instrText> SEQ Alinea \* ARABIC </w:instrText>
      </w:r>
      <w:r>
        <w:rPr>
          <w:lang w:val="fr-FR"/>
        </w:rPr>
        <w:fldChar w:fldCharType="separate"/>
      </w:r>
      <w:r>
        <w:rPr>
          <w:lang w:val="fr-FR"/>
        </w:rPr>
        <w:t>13</w:t>
      </w:r>
      <w:r>
        <w:rPr>
          <w:lang w:val="fr-FR"/>
        </w:rPr>
        <w:fldChar w:fldCharType="end"/>
      </w:r>
      <w:r>
        <w:rPr>
          <w:lang w:val="fr-FR"/>
        </w:rPr>
        <w:t xml:space="preserve">] </w:t>
      </w:r>
      <w:r>
        <w:rPr>
          <w:lang w:val="fr-FR"/>
        </w:rPr>
        <w:t>Alinéa</w:t>
      </w:r>
      <w:r>
        <w:rPr>
          <w:lang w:val="fr-FR"/>
        </w:rPr>
        <w:t xml:space="preserve"> numéroté</w:t>
      </w:r>
      <w:r>
        <w:rPr>
          <w:lang w:val="fr-FR"/>
        </w:rPr>
        <w:t>,</w:t>
      </w:r>
      <w:r>
        <w:rPr>
          <w:lang w:val="fr-FR"/>
        </w:rPr>
        <w:t xml:space="preserve"> </w:t>
      </w:r>
      <w:commentRangeStart w:id="25"/>
      <w:r>
        <w:rPr>
          <w:lang w:val="fr-FR"/>
        </w:rPr>
        <w:t>16</w:t>
      </w:r>
      <w:r>
        <w:rPr>
          <w:lang w:val="fr-FR"/>
        </w:rPr>
        <w:t xml:space="preserve">e </w:t>
      </w:r>
      <w:r>
        <w:rPr>
          <w:lang w:val="fr-FR"/>
        </w:rPr>
        <w:t>siècle</w:t>
      </w:r>
      <w:r>
        <w:rPr/>
      </w:r>
      <w:commentRangeEnd w:id="25"/>
      <w:r>
        <w:commentReference w:id="25"/>
      </w:r>
      <w:r>
        <w:rPr>
          <w:lang w:val="fr-FR"/>
        </w:rPr>
        <w:t xml:space="preserve"> </w:t>
      </w:r>
      <w:r>
        <w:rPr>
          <w:lang w:val="fr-FR"/>
        </w:rPr>
        <w:t xml:space="preserve">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 xml:space="preserve"> numéroté</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(Fava 1995 : 21)</w:t>
      </w:r>
      <w:r>
        <w:rPr>
          <w:lang w:val="fr-FR"/>
        </w:rPr>
        <w:t xml:space="preserve">. </w:t>
      </w:r>
      <w:r>
        <w:rPr>
          <w:lang w:val="fr-FR"/>
        </w:rPr>
        <w:t>Alinéa</w:t>
      </w:r>
      <w:r>
        <w:rPr>
          <w:lang w:val="fr-FR"/>
        </w:rPr>
        <w:t xml:space="preserve"> numéroté</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br w:type="page"/>
      </w:r>
    </w:p>
    <w:p>
      <w:pPr>
        <w:pStyle w:val="Slrtitresectionniveau1"/>
        <w:ind w:left="567" w:right="0" w:hanging="567"/>
        <w:rPr/>
      </w:pPr>
      <w:bookmarkStart w:id="10" w:name="__RefHeading___Toc3192_528085325"/>
      <w:bookmarkEnd w:id="10"/>
      <w:r>
        <w:rPr/>
        <w:t>Abréviations et r</w:t>
      </w:r>
      <w:r>
        <w:rPr/>
        <w:t>éférences bibliographiques</w:t>
      </w:r>
    </w:p>
    <w:p>
      <w:pPr>
        <w:pStyle w:val="Slrabreviationsreferencesbibliographiques"/>
        <w:rPr/>
      </w:pPr>
      <w:r>
        <w:rPr/>
        <w:t>ACD = An</w:t>
      </w:r>
      <w:r>
        <w:rPr/>
        <w:t>alyse critique du discours.</w:t>
      </w:r>
    </w:p>
    <w:p>
      <w:pPr>
        <w:pStyle w:val="Slrabreviationsreferencesbibliographiques"/>
        <w:rPr/>
      </w:pPr>
      <w:r>
        <w:rPr>
          <w:rFonts w:eastAsia="Times New Roman" w:cs="Times New Roman"/>
          <w:color w:val="00000A"/>
          <w:lang w:eastAsia="zxx" w:bidi="ar-SA"/>
        </w:rPr>
        <w:t xml:space="preserve">Ackema &amp; Neeleman 2004 = Peter </w:t>
      </w:r>
      <w:r>
        <w:rPr>
          <w:rFonts w:eastAsia="Times New Roman" w:cs="Times New Roman"/>
          <w:color w:val="00000A"/>
          <w:lang w:eastAsia="zxx" w:bidi="ar-SA"/>
        </w:rPr>
        <w:t xml:space="preserve">Ackema, Ad Neeleman 2004. </w:t>
      </w:r>
      <w:r>
        <w:rPr>
          <w:rStyle w:val="Slritalique"/>
          <w:rFonts w:eastAsia="Times New Roman" w:cs="Times New Roman"/>
          <w:iCs/>
          <w:color w:val="00000A"/>
          <w:lang w:eastAsia="zxx" w:bidi="ar-SA"/>
        </w:rPr>
        <w:t>Beyond morphology. Interface conditions on word formation</w:t>
      </w:r>
      <w:r>
        <w:rPr>
          <w:rFonts w:eastAsia="Times New Roman" w:cs="Times New Roman"/>
          <w:i w:val="false"/>
          <w:iCs w:val="false"/>
          <w:color w:val="00000A"/>
          <w:lang w:eastAsia="zxx" w:bidi="ar-SA"/>
        </w:rPr>
        <w:t>. Oxford</w:t>
      </w:r>
      <w:r>
        <w:rPr>
          <w:rFonts w:eastAsia="Times New Roman" w:cs="Times New Roman"/>
          <w:b w:val="false"/>
          <w:i w:val="false"/>
          <w:iCs w:val="false"/>
          <w:color w:val="00000A"/>
          <w:sz w:val="24"/>
          <w:szCs w:val="24"/>
          <w:lang w:eastAsia="zxx" w:bidi="ar-SA"/>
        </w:rPr>
        <w:t> </w:t>
      </w:r>
      <w:r>
        <w:rPr>
          <w:rFonts w:eastAsia="Times New Roman" w:cs="Times New Roman"/>
          <w:i w:val="false"/>
          <w:iCs w:val="false"/>
          <w:color w:val="00000A"/>
          <w:lang w:eastAsia="zxx" w:bidi="ar-SA"/>
        </w:rPr>
        <w:t>: Oxford University Press.</w:t>
      </w:r>
    </w:p>
    <w:p>
      <w:pPr>
        <w:pStyle w:val="Slrabreviationsreferencesbibliographiques"/>
        <w:rPr/>
      </w:pPr>
      <w:r>
        <w:rPr/>
        <w:t>AJL = Asociación de jóvenes lingüistas.</w:t>
      </w:r>
    </w:p>
    <w:p>
      <w:pPr>
        <w:pStyle w:val="Slrabreviationsreferencesbibliographiques"/>
        <w:rPr/>
      </w:pPr>
      <w:r>
        <w:rPr>
          <w:rStyle w:val="Slritalique"/>
          <w:iCs w:val="false"/>
        </w:rPr>
        <w:t>ALF</w:t>
      </w:r>
      <w:r>
        <w:rPr/>
        <w:t xml:space="preserve"> = Jules Gilliéron, Edmond Edmont 1902-1910. </w:t>
      </w:r>
      <w:r>
        <w:rPr>
          <w:rStyle w:val="Slritalique"/>
          <w:iCs w:val="false"/>
        </w:rPr>
        <w:t>Atlas linguistique de la France</w:t>
      </w:r>
      <w:r>
        <w:rPr/>
        <w:t xml:space="preserve">. Paris : Champion. </w:t>
      </w:r>
      <w:hyperlink r:id="rId4">
        <w:commentRangeStart w:id="26"/>
        <w:r>
          <w:rPr>
            <w:rStyle w:val="InternetLink"/>
          </w:rPr>
          <w:t>http://lig-tdcge.imag.fr/cartodialect5</w:t>
        </w:r>
        <w:r>
          <w:rPr/>
        </w:r>
      </w:hyperlink>
      <w:commentRangeEnd w:id="26"/>
      <w:r>
        <w:commentReference w:id="26"/>
      </w:r>
      <w:r>
        <w:rPr/>
        <w:t>.</w:t>
      </w:r>
    </w:p>
    <w:p>
      <w:pPr>
        <w:pStyle w:val="Slrabreviationsreferencesbibliographiques"/>
        <w:rPr/>
      </w:pPr>
      <w:r>
        <w:rPr>
          <w:rFonts w:eastAsia="Times New Roman" w:cs="Times New Roman"/>
          <w:i w:val="false"/>
          <w:iCs w:val="false"/>
          <w:color w:val="00000A"/>
          <w:lang w:eastAsia="zxx" w:bidi="ar-SA"/>
        </w:rPr>
        <w:t xml:space="preserve">Alvar 2000 = Manuel </w:t>
      </w:r>
      <w:r>
        <w:rPr>
          <w:rFonts w:eastAsia="Times New Roman" w:cs="Times New Roman"/>
          <w:i w:val="false"/>
          <w:iCs w:val="false"/>
          <w:color w:val="00000A"/>
          <w:lang w:eastAsia="zxx" w:bidi="ar-SA"/>
        </w:rPr>
        <w:t>Alvar (</w:t>
      </w:r>
      <w:r>
        <w:rPr>
          <w:rFonts w:eastAsia="Times New Roman" w:cs="Times New Roman"/>
          <w:i w:val="false"/>
          <w:iCs w:val="false"/>
          <w:color w:val="00000A"/>
          <w:lang w:eastAsia="zxx" w:bidi="ar-SA"/>
        </w:rPr>
        <w:t>éd</w:t>
      </w:r>
      <w:r>
        <w:rPr>
          <w:rFonts w:eastAsia="Times New Roman" w:cs="Times New Roman"/>
          <w:i w:val="false"/>
          <w:iCs w:val="false"/>
          <w:color w:val="00000A"/>
          <w:lang w:eastAsia="zxx" w:bidi="ar-SA"/>
        </w:rPr>
        <w:t xml:space="preserve">.) 2000. </w:t>
      </w:r>
      <w:r>
        <w:rPr>
          <w:rStyle w:val="Slritalique"/>
          <w:rFonts w:eastAsia="Times New Roman" w:cs="Times New Roman"/>
          <w:iCs w:val="false"/>
          <w:color w:val="00000A"/>
          <w:lang w:eastAsia="zxx" w:bidi="ar-SA"/>
        </w:rPr>
        <w:t>Introducción a la lingüística española</w:t>
      </w:r>
      <w:r>
        <w:rPr>
          <w:rFonts w:eastAsia="Times New Roman" w:cs="Times New Roman"/>
          <w:i w:val="false"/>
          <w:iCs w:val="false"/>
          <w:color w:val="00000A"/>
          <w:lang w:eastAsia="zxx" w:bidi="ar-SA"/>
        </w:rPr>
        <w:t>. Barcelona : Ariel.</w:t>
      </w:r>
    </w:p>
    <w:p>
      <w:pPr>
        <w:pStyle w:val="Slrabreviationsreferencesbibliographiques"/>
        <w:rPr/>
      </w:pPr>
      <w:r>
        <w:rPr>
          <w:rFonts w:eastAsia="Times New Roman" w:cs="Times New Roman"/>
          <w:color w:val="00000A"/>
          <w:lang w:eastAsia="zxx" w:bidi="ar-SA"/>
        </w:rPr>
        <w:t xml:space="preserve">Andersen 1997 = Hanne L. </w:t>
      </w:r>
      <w:r>
        <w:rPr>
          <w:rFonts w:eastAsia="Times New Roman" w:cs="Times New Roman"/>
          <w:color w:val="00000A"/>
          <w:lang w:eastAsia="zxx" w:bidi="ar-SA"/>
        </w:rPr>
        <w:t xml:space="preserve">Andersen 1997. </w:t>
      </w:r>
      <w:r>
        <w:rPr>
          <w:rStyle w:val="Slritalique"/>
          <w:rFonts w:eastAsia="Times New Roman" w:cs="Times New Roman"/>
          <w:color w:val="00000A"/>
          <w:lang w:eastAsia="zxx" w:bidi="ar-SA"/>
        </w:rPr>
        <w:t>Propositions parenthétiques et subordination en français parlé</w:t>
      </w:r>
      <w:r>
        <w:rPr>
          <w:rFonts w:eastAsia="Times New Roman" w:cs="Times New Roman"/>
          <w:color w:val="00000A"/>
          <w:lang w:eastAsia="zxx" w:bidi="ar-SA"/>
        </w:rPr>
        <w:t xml:space="preserve">. Thèse de doctorat, </w:t>
      </w:r>
      <w:r>
        <w:rPr>
          <w:rFonts w:eastAsia="Times New Roman" w:cs="Times New Roman"/>
          <w:color w:val="00000A"/>
          <w:lang w:eastAsia="zxx" w:bidi="ar-SA"/>
        </w:rPr>
        <w:t>Københavns Universitet</w:t>
      </w:r>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Austin 1976 [1962] = </w:t>
      </w:r>
      <w:commentRangeStart w:id="27"/>
      <w:r>
        <w:rPr>
          <w:rFonts w:eastAsia="Times New Roman" w:cs="Times New Roman"/>
          <w:color w:val="00000A"/>
          <w:lang w:eastAsia="zxx" w:bidi="ar-SA"/>
        </w:rPr>
        <w:t xml:space="preserve">John </w:t>
      </w:r>
      <w:r>
        <w:rPr>
          <w:rFonts w:eastAsia="Times New Roman" w:cs="Times New Roman"/>
          <w:color w:val="00000A"/>
          <w:lang w:eastAsia="zxx" w:bidi="ar-SA"/>
        </w:rPr>
        <w:t>L.</w:t>
      </w:r>
      <w:r>
        <w:rPr/>
      </w:r>
      <w:commentRangeEnd w:id="27"/>
      <w:r>
        <w:commentReference w:id="27"/>
      </w:r>
      <w:r>
        <w:rPr>
          <w:rFonts w:eastAsia="Times New Roman" w:cs="Times New Roman"/>
          <w:color w:val="00000A"/>
          <w:lang w:eastAsia="zxx" w:bidi="ar-SA"/>
        </w:rPr>
        <w:t xml:space="preserve"> </w:t>
      </w:r>
      <w:r>
        <w:rPr>
          <w:rFonts w:eastAsia="Times New Roman" w:cs="Times New Roman"/>
          <w:color w:val="00000A"/>
          <w:lang w:eastAsia="zxx" w:bidi="ar-SA"/>
        </w:rPr>
        <w:t xml:space="preserve">Austin </w:t>
      </w:r>
      <w:r>
        <w:rPr>
          <w:rFonts w:eastAsia="Times New Roman" w:cs="Times New Roman"/>
          <w:color w:val="00000A"/>
          <w:lang w:eastAsia="zxx" w:bidi="ar-SA"/>
        </w:rPr>
        <w:t xml:space="preserve">1976 [1962]. </w:t>
      </w:r>
      <w:r>
        <w:rPr>
          <w:rStyle w:val="Slritalique"/>
          <w:rFonts w:eastAsia="Times New Roman" w:cs="Times New Roman"/>
          <w:color w:val="00000A"/>
          <w:lang w:eastAsia="zxx" w:bidi="ar-SA"/>
        </w:rPr>
        <w:t>How to do things with words. The William James Lectures delivered at Harvard University in 1955. Edited by J. O. Urmson and Marina Sbisà</w:t>
      </w:r>
      <w:r>
        <w:rPr>
          <w:rFonts w:eastAsia="Times New Roman" w:cs="Times New Roman"/>
          <w:color w:val="00000A"/>
          <w:lang w:eastAsia="zxx" w:bidi="ar-SA"/>
        </w:rPr>
        <w:t xml:space="preserve">. 2e </w:t>
      </w:r>
      <w:r>
        <w:rPr>
          <w:rFonts w:eastAsia="Times New Roman" w:cs="Times New Roman"/>
          <w:color w:val="00000A"/>
          <w:lang w:eastAsia="zxx" w:bidi="ar-SA"/>
        </w:rPr>
        <w:t>é</w:t>
      </w:r>
      <w:r>
        <w:rPr>
          <w:rFonts w:eastAsia="Times New Roman" w:cs="Times New Roman"/>
          <w:color w:val="00000A"/>
          <w:lang w:eastAsia="zxx" w:bidi="ar-SA"/>
        </w:rPr>
        <w:t>dition. London</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Oxford University Press.</w:t>
      </w:r>
    </w:p>
    <w:p>
      <w:pPr>
        <w:pStyle w:val="Slrabreviationsreferencesbibliographiques"/>
        <w:rPr/>
      </w:pPr>
      <w:r>
        <w:rPr>
          <w:rFonts w:eastAsia="Times New Roman" w:cs="Times New Roman"/>
          <w:color w:val="00000A"/>
          <w:lang w:eastAsia="zxx" w:bidi="ar-SA"/>
        </w:rPr>
        <w:t xml:space="preserve">Bartkova, </w:t>
      </w:r>
      <w:r>
        <w:rPr>
          <w:rFonts w:eastAsia="Times New Roman" w:cs="Times New Roman"/>
          <w:color w:val="00000A"/>
          <w:lang w:eastAsia="zxx" w:bidi="ar-SA"/>
        </w:rPr>
        <w:t xml:space="preserve">Bastien </w:t>
      </w:r>
      <w:r>
        <w:rPr>
          <w:rFonts w:eastAsia="Times New Roman" w:cs="Times New Roman"/>
          <w:color w:val="00000A"/>
          <w:lang w:eastAsia="zxx" w:bidi="ar-SA"/>
        </w:rPr>
        <w:t xml:space="preserve">&amp; Dargnat 2016 = </w:t>
      </w:r>
      <w:r>
        <w:rPr>
          <w:rFonts w:eastAsia="Times New Roman" w:cs="Times New Roman"/>
          <w:color w:val="00000A"/>
          <w:lang w:eastAsia="zxx" w:bidi="ar-SA"/>
        </w:rPr>
        <w:t xml:space="preserve">Katarina </w:t>
      </w:r>
      <w:r>
        <w:rPr>
          <w:rFonts w:eastAsia="Times New Roman" w:cs="Times New Roman"/>
          <w:color w:val="00000A"/>
          <w:lang w:eastAsia="zxx" w:bidi="ar-SA"/>
        </w:rPr>
        <w:t>Bartkova</w:t>
      </w:r>
      <w:r>
        <w:rPr>
          <w:rFonts w:eastAsia="Times New Roman" w:cs="Times New Roman"/>
          <w:color w:val="00000A"/>
          <w:lang w:eastAsia="zxx" w:bidi="ar-SA"/>
        </w:rPr>
        <w:t xml:space="preserve">, Alice Bastien, Mathilde Dargnat 2016. How to be a Discourse Particle? Jon Barnes et al. (éds.). </w:t>
      </w:r>
      <w:r>
        <w:rPr>
          <w:rStyle w:val="Slritalique"/>
          <w:rFonts w:eastAsia="Times New Roman" w:cs="Times New Roman"/>
          <w:iCs/>
          <w:color w:val="00000A"/>
          <w:lang w:eastAsia="zxx" w:bidi="ar-SA"/>
        </w:rPr>
        <w:t>Speech Prosody 2016. 31 May - 3 Jun 2016, Boston, USA</w:t>
      </w:r>
      <w:r>
        <w:rPr>
          <w:rFonts w:eastAsia="Times New Roman" w:cs="Times New Roman"/>
          <w:color w:val="00000A"/>
          <w:lang w:eastAsia="zxx" w:bidi="ar-SA"/>
        </w:rPr>
        <w:t xml:space="preserve">. </w:t>
      </w:r>
      <w:hyperlink r:id="rId5">
        <w:r>
          <w:rPr>
            <w:rStyle w:val="InternetLink"/>
          </w:rPr>
          <w:t>https://www.isca-speech.org/archive/SpeechProsody_2016/pdfs/258.pdf</w:t>
        </w:r>
      </w:hyperlink>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Băsescu </w:t>
      </w:r>
      <w:r>
        <w:rPr>
          <w:rFonts w:eastAsia="Times New Roman" w:cs="Times New Roman"/>
          <w:color w:val="00000A"/>
          <w:lang w:eastAsia="zxx" w:bidi="ar-SA"/>
        </w:rPr>
        <w:t>2013 =</w:t>
      </w:r>
      <w:r>
        <w:rPr>
          <w:rFonts w:eastAsia="Times New Roman" w:cs="Times New Roman"/>
          <w:color w:val="00000A"/>
          <w:lang w:eastAsia="zxx" w:bidi="ar-SA"/>
        </w:rPr>
        <w:t xml:space="preserve"> Traian Băsescu 2013. </w:t>
      </w:r>
      <w:r>
        <w:rPr>
          <w:rStyle w:val="Slritalique"/>
          <w:rFonts w:eastAsia="Times New Roman" w:cs="Times New Roman"/>
          <w:color w:val="00000A"/>
          <w:lang w:eastAsia="zxx" w:bidi="ar-SA"/>
        </w:rPr>
        <w:t>Să găsiţi soluţia corectă!</w:t>
      </w:r>
      <w:r>
        <w:rPr>
          <w:rFonts w:eastAsia="Times New Roman" w:cs="Times New Roman"/>
          <w:color w:val="00000A"/>
          <w:lang w:eastAsia="zxx" w:bidi="ar-SA"/>
        </w:rPr>
        <w:t xml:space="preserve"> Radio România, 23 mars 2013. </w:t>
      </w:r>
      <w:hyperlink r:id="rId6">
        <w:r>
          <w:rPr>
            <w:rStyle w:val="InternetLink"/>
          </w:rPr>
          <w:t>http://www.politicaromaneasca.ro/%20live_text_basescu_la_conventia_pdl_sa_gasiti_solutia_corecta-13636</w:t>
        </w:r>
      </w:hyperlink>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Batllori &amp; Hernanz 2011 = Montserrat Batllori, M. Lluïsa Hernanz 2011. Variación y periferia izquierda: la anteposición de foco débil en español y en catalán. </w:t>
      </w:r>
      <w:r>
        <w:rPr>
          <w:rStyle w:val="Slritalique"/>
          <w:rFonts w:eastAsia="Times New Roman" w:cs="Times New Roman"/>
          <w:iCs w:val="false"/>
          <w:color w:val="00000A"/>
          <w:lang w:eastAsia="zxx" w:bidi="ar-SA"/>
        </w:rPr>
        <w:t>18. Congreso de la asociación alemana de hispanistas, Universität Passau, 23-26 de marzo de 2011</w:t>
      </w:r>
      <w:r>
        <w:rPr>
          <w:rFonts w:eastAsia="Times New Roman" w:cs="Times New Roman"/>
          <w:color w:val="00000A"/>
          <w:lang w:eastAsia="zxx" w:bidi="ar-SA"/>
        </w:rPr>
        <w:t xml:space="preserve">. </w:t>
      </w:r>
      <w:hyperlink r:id="rId7">
        <w:r>
          <w:rPr>
            <w:rStyle w:val="InternetLink"/>
          </w:rPr>
          <w:t>http://hdl.handle.net/10256/3964</w:t>
        </w:r>
      </w:hyperlink>
      <w:r>
        <w:rPr>
          <w:rFonts w:eastAsia="Times New Roman" w:cs="Times New Roman"/>
          <w:color w:val="00000A"/>
          <w:lang w:eastAsia="zxx" w:bidi="ar-SA"/>
        </w:rPr>
        <w:t>.</w:t>
      </w:r>
    </w:p>
    <w:p>
      <w:pPr>
        <w:pStyle w:val="Slrabreviationsreferencesbibliographiques"/>
        <w:rPr/>
      </w:pPr>
      <w:r>
        <w:rPr>
          <w:rFonts w:eastAsia="Times New Roman" w:cs="Times New Roman"/>
          <w:color w:val="00000A"/>
          <w:lang w:eastAsia="zxx" w:bidi="ar-SA"/>
        </w:rPr>
        <w:t xml:space="preserve">Bazzanella </w:t>
      </w:r>
      <w:r>
        <w:rPr>
          <w:rFonts w:eastAsia="Times New Roman" w:cs="Times New Roman"/>
          <w:color w:val="00000A"/>
          <w:lang w:eastAsia="zxx" w:bidi="ar-SA"/>
        </w:rPr>
        <w:t>2003a =</w:t>
      </w:r>
      <w:r>
        <w:rPr>
          <w:rFonts w:eastAsia="Times New Roman" w:cs="Times New Roman"/>
          <w:color w:val="00000A"/>
          <w:lang w:eastAsia="zxx" w:bidi="ar-SA"/>
        </w:rPr>
        <w:t xml:space="preserve"> Carla </w:t>
      </w:r>
      <w:r>
        <w:rPr>
          <w:rFonts w:eastAsia="Times New Roman" w:cs="Times New Roman"/>
          <w:color w:val="00000A"/>
          <w:lang w:eastAsia="zxx" w:bidi="ar-SA"/>
        </w:rPr>
        <w:t xml:space="preserve">Bazzanella </w:t>
      </w:r>
      <w:r>
        <w:rPr>
          <w:rFonts w:eastAsia="Times New Roman" w:cs="Times New Roman"/>
          <w:color w:val="00000A"/>
          <w:lang w:eastAsia="zxx" w:bidi="ar-SA"/>
        </w:rPr>
        <w:t xml:space="preserve">2003. Discourse markers and politeness in Old Italian. Gudrun Held (éd.). </w:t>
      </w:r>
      <w:r>
        <w:rPr>
          <w:rStyle w:val="Slritalique"/>
          <w:rFonts w:eastAsia="Times New Roman" w:cs="Times New Roman"/>
          <w:iCs/>
          <w:color w:val="00000A"/>
          <w:lang w:eastAsia="zxx" w:bidi="ar-SA"/>
        </w:rPr>
        <w:t>Partikeln und Höflichkeit</w:t>
      </w:r>
      <w:r>
        <w:rPr>
          <w:rFonts w:eastAsia="Times New Roman" w:cs="Times New Roman"/>
          <w:color w:val="00000A"/>
          <w:lang w:eastAsia="zxx" w:bidi="ar-SA"/>
        </w:rPr>
        <w:t>. Frankfurt am Main</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Lang, 247-268.</w:t>
      </w:r>
    </w:p>
    <w:p>
      <w:pPr>
        <w:pStyle w:val="Slrabreviationsreferencesbibliographiques"/>
        <w:rPr/>
      </w:pPr>
      <w:r>
        <w:rPr>
          <w:rFonts w:eastAsia="Times New Roman" w:cs="Times New Roman"/>
          <w:color w:val="00000A"/>
          <w:lang w:eastAsia="zxx" w:bidi="ar-SA"/>
        </w:rPr>
        <w:t xml:space="preserve">Bazzanella </w:t>
      </w:r>
      <w:r>
        <w:rPr>
          <w:rFonts w:eastAsia="Times New Roman" w:cs="Times New Roman"/>
          <w:color w:val="00000A"/>
          <w:lang w:eastAsia="zxx" w:bidi="ar-SA"/>
        </w:rPr>
        <w:t xml:space="preserve">2003b = </w:t>
      </w:r>
      <w:r>
        <w:rPr>
          <w:rFonts w:eastAsia="Times New Roman" w:cs="Times New Roman"/>
          <w:color w:val="00000A"/>
          <w:lang w:eastAsia="zxx" w:bidi="ar-SA"/>
        </w:rPr>
        <w:t xml:space="preserve">Carla </w:t>
      </w:r>
      <w:r>
        <w:rPr>
          <w:rFonts w:eastAsia="Times New Roman" w:cs="Times New Roman"/>
          <w:color w:val="00000A"/>
          <w:lang w:eastAsia="zxx" w:bidi="ar-SA"/>
        </w:rPr>
        <w:t xml:space="preserve">Bazzanella </w:t>
      </w:r>
      <w:r>
        <w:rPr>
          <w:rFonts w:eastAsia="Times New Roman" w:cs="Times New Roman"/>
          <w:color w:val="00000A"/>
          <w:lang w:eastAsia="zxx" w:bidi="ar-SA"/>
        </w:rPr>
        <w:t xml:space="preserve">2003. Dal latino </w:t>
      </w:r>
      <w:r>
        <w:rPr>
          <w:rStyle w:val="Slritalique"/>
          <w:rFonts w:eastAsia="Times New Roman" w:cs="Times New Roman"/>
          <w:iCs/>
          <w:color w:val="00000A"/>
          <w:lang w:eastAsia="zxx" w:bidi="ar-SA"/>
        </w:rPr>
        <w:t>ante</w:t>
      </w:r>
      <w:r>
        <w:rPr>
          <w:rFonts w:eastAsia="Times New Roman" w:cs="Times New Roman"/>
          <w:color w:val="00000A"/>
          <w:lang w:eastAsia="zxx" w:bidi="ar-SA"/>
        </w:rPr>
        <w:t xml:space="preserve"> all'italiano </w:t>
      </w:r>
      <w:r>
        <w:rPr>
          <w:rStyle w:val="Slritalique"/>
          <w:rFonts w:eastAsia="Times New Roman" w:cs="Times New Roman"/>
          <w:iCs/>
          <w:color w:val="00000A"/>
          <w:lang w:eastAsia="zxx" w:bidi="ar-SA"/>
        </w:rPr>
        <w:t>anzi</w:t>
      </w:r>
      <w:r>
        <w:rPr>
          <w:rFonts w:eastAsia="Times New Roman" w:cs="Times New Roman"/>
          <w:color w:val="00000A"/>
          <w:lang w:eastAsia="zxx" w:bidi="ar-SA"/>
        </w:rPr>
        <w:t>: La 'deriva modale</w:t>
      </w:r>
      <w:r>
        <w:rPr>
          <w:rFonts w:eastAsia="Times New Roman" w:cs="Times New Roman"/>
          <w:color w:val="00000A"/>
          <w:lang w:eastAsia="zxx" w:bidi="ar-SA"/>
        </w:rPr>
        <w:t>'</w:t>
      </w:r>
      <w:r>
        <w:rPr>
          <w:rFonts w:eastAsia="Times New Roman" w:cs="Times New Roman"/>
          <w:color w:val="00000A"/>
          <w:lang w:eastAsia="zxx" w:bidi="ar-SA"/>
        </w:rPr>
        <w:t xml:space="preserve">. Alessandro Garcea (éd.). </w:t>
      </w:r>
      <w:r>
        <w:rPr>
          <w:rFonts w:eastAsia="Times New Roman" w:cs="Times New Roman"/>
          <w:i w:val="false"/>
          <w:iCs w:val="false"/>
          <w:color w:val="00000A"/>
          <w:lang w:eastAsia="zxx" w:bidi="ar-SA"/>
        </w:rPr>
        <w:t>Colloquia absentium</w:t>
      </w:r>
      <w:r>
        <w:rPr>
          <w:rFonts w:eastAsia="Times New Roman" w:cs="Times New Roman"/>
          <w:i/>
          <w:iCs/>
          <w:color w:val="00000A"/>
          <w:lang w:eastAsia="zxx" w:bidi="ar-SA"/>
        </w:rPr>
        <w:t>.</w:t>
      </w:r>
      <w:r>
        <w:rPr>
          <w:rFonts w:eastAsia="Times New Roman" w:cs="Times New Roman"/>
          <w:i w:val="false"/>
          <w:iCs w:val="false"/>
          <w:color w:val="00000A"/>
          <w:lang w:eastAsia="zxx" w:bidi="ar-SA"/>
        </w:rPr>
        <w:t xml:space="preserve"> </w:t>
      </w:r>
      <w:r>
        <w:rPr>
          <w:rStyle w:val="Slritalique"/>
          <w:rFonts w:eastAsia="Times New Roman" w:cs="Times New Roman"/>
          <w:iCs/>
          <w:color w:val="00000A"/>
          <w:lang w:eastAsia="zxx" w:bidi="ar-SA"/>
        </w:rPr>
        <w:t>Studi sulla comunicazione epistolare in Cicerone</w:t>
      </w:r>
      <w:r>
        <w:rPr>
          <w:rFonts w:eastAsia="Times New Roman" w:cs="Times New Roman"/>
          <w:color w:val="00000A"/>
          <w:lang w:eastAsia="zxx" w:bidi="ar-SA"/>
        </w:rPr>
        <w:t>. Torino</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Rosenberg &amp; Sellier, 123-140.</w:t>
      </w:r>
    </w:p>
    <w:p>
      <w:pPr>
        <w:pStyle w:val="Slrabreviationsreferencesbibliographiques"/>
        <w:rPr/>
      </w:pPr>
      <w:r>
        <w:rPr>
          <w:rStyle w:val="Slritalique"/>
          <w:rFonts w:eastAsia="Times New Roman" w:cs="Times New Roman"/>
          <w:iCs/>
          <w:color w:val="00000A"/>
          <w:lang w:eastAsia="zxx" w:bidi="ar-SA"/>
        </w:rPr>
        <w:t>Belle Hélène</w:t>
      </w:r>
      <w:r>
        <w:rPr>
          <w:rFonts w:eastAsia="Times New Roman" w:cs="Times New Roman"/>
          <w:i w:val="false"/>
          <w:iCs w:val="false"/>
          <w:color w:val="00000A"/>
          <w:lang w:eastAsia="zxx" w:bidi="ar-SA"/>
        </w:rPr>
        <w:t xml:space="preserve"> = Jehan Wauquelin. </w:t>
      </w:r>
      <w:r>
        <w:rPr>
          <w:rStyle w:val="Slritalique"/>
          <w:rFonts w:eastAsia="Times New Roman" w:cs="Times New Roman"/>
          <w:iCs/>
          <w:color w:val="00000A"/>
          <w:lang w:eastAsia="zxx" w:bidi="ar-SA"/>
        </w:rPr>
        <w:t>La Belle Hélène de Constantinople</w:t>
      </w:r>
      <w:r>
        <w:rPr>
          <w:rFonts w:eastAsia="Times New Roman" w:cs="Times New Roman"/>
          <w:i w:val="false"/>
          <w:iCs w:val="false"/>
          <w:color w:val="00000A"/>
          <w:lang w:eastAsia="zxx" w:bidi="ar-SA"/>
        </w:rPr>
        <w:t xml:space="preserve"> </w:t>
      </w:r>
      <w:commentRangeStart w:id="28"/>
      <w:r>
        <w:rPr>
          <w:rFonts w:eastAsia="Times New Roman" w:cs="Times New Roman"/>
          <w:i w:val="false"/>
          <w:iCs w:val="false"/>
          <w:color w:val="00000A"/>
          <w:lang w:eastAsia="zxx" w:bidi="ar-SA"/>
        </w:rPr>
        <w:t>(Bruxelles, Bibliothèque Royale de Belgique, ms. 9967, 1448)</w:t>
      </w:r>
      <w:r>
        <w:rPr/>
      </w:r>
      <w:commentRangeEnd w:id="28"/>
      <w:r>
        <w:commentReference w:id="28"/>
      </w:r>
      <w:r>
        <w:rPr>
          <w:rFonts w:eastAsia="Times New Roman" w:cs="Times New Roman"/>
          <w:i w:val="false"/>
          <w:iCs w:val="false"/>
          <w:color w:val="00000A"/>
          <w:lang w:eastAsia="zxx" w:bidi="ar-SA"/>
        </w:rPr>
        <w:t>. Marie-Claude de Crécy (éd.) 2002. Genève : Droz.</w:t>
      </w:r>
    </w:p>
    <w:p>
      <w:pPr>
        <w:pStyle w:val="Slrabreviationsreferencesbibliographiques"/>
        <w:rPr/>
      </w:pPr>
      <w:r>
        <w:rPr>
          <w:rFonts w:eastAsia="Times New Roman" w:cs="Times New Roman"/>
          <w:color w:val="00000A"/>
          <w:lang w:eastAsia="zxx" w:bidi="ar-SA"/>
        </w:rPr>
        <w:t xml:space="preserve">Benveniste 1966 [1958] = </w:t>
      </w:r>
      <w:r>
        <w:rPr>
          <w:rFonts w:eastAsia="Times New Roman" w:cs="Times New Roman"/>
          <w:color w:val="00000A"/>
          <w:lang w:eastAsia="zxx" w:bidi="ar-SA"/>
        </w:rPr>
        <w:t xml:space="preserve">Émile </w:t>
      </w:r>
      <w:r>
        <w:rPr>
          <w:rFonts w:eastAsia="Times New Roman" w:cs="Times New Roman"/>
          <w:color w:val="00000A"/>
          <w:lang w:eastAsia="zxx" w:bidi="ar-SA"/>
        </w:rPr>
        <w:t xml:space="preserve">Benveniste </w:t>
      </w:r>
      <w:r>
        <w:rPr>
          <w:rFonts w:eastAsia="Times New Roman" w:cs="Times New Roman"/>
          <w:color w:val="00000A"/>
          <w:lang w:eastAsia="zxx" w:bidi="ar-SA"/>
        </w:rPr>
        <w:t xml:space="preserve">1966 [1958]. De la subjectivité dans le langage. Émile Benveniste. </w:t>
      </w:r>
      <w:r>
        <w:rPr>
          <w:rStyle w:val="Slritalique"/>
          <w:rFonts w:eastAsia="Times New Roman" w:cs="Times New Roman"/>
          <w:color w:val="00000A"/>
          <w:lang w:eastAsia="zxx" w:bidi="ar-SA"/>
        </w:rPr>
        <w:t>Problèmes de linguistique générale</w:t>
      </w:r>
      <w:r>
        <w:rPr>
          <w:rFonts w:eastAsia="Times New Roman" w:cs="Times New Roman"/>
          <w:color w:val="00000A"/>
          <w:lang w:eastAsia="zxx" w:bidi="ar-SA"/>
        </w:rPr>
        <w:t xml:space="preserve">. Vol. 1. </w:t>
      </w:r>
      <w:r>
        <w:rPr>
          <w:rFonts w:eastAsia="Times New Roman" w:cs="Times New Roman"/>
          <w:color w:val="00000A"/>
          <w:lang w:eastAsia="zxx" w:bidi="ar-SA"/>
        </w:rPr>
        <w:t>Paris :</w:t>
      </w:r>
      <w:r>
        <w:rPr>
          <w:rFonts w:eastAsia="Times New Roman" w:cs="Times New Roman"/>
          <w:color w:val="00000A"/>
          <w:lang w:eastAsia="zxx" w:bidi="ar-SA"/>
        </w:rPr>
        <w:t xml:space="preserve"> Gallimard [</w:t>
      </w:r>
      <w:r>
        <w:rPr>
          <w:rFonts w:eastAsia="Times New Roman" w:cs="Times New Roman"/>
          <w:color w:val="00000A"/>
          <w:lang w:eastAsia="zxx" w:bidi="ar-SA"/>
        </w:rPr>
        <w:t>première publication dans</w:t>
      </w:r>
      <w:r>
        <w:rPr>
          <w:rFonts w:eastAsia="Times New Roman" w:cs="Times New Roman"/>
          <w:color w:val="00000A"/>
          <w:lang w:eastAsia="zxx" w:bidi="ar-SA"/>
        </w:rPr>
        <w:t xml:space="preserve"> </w:t>
      </w:r>
      <w:r>
        <w:rPr>
          <w:rStyle w:val="Slritalique"/>
          <w:rFonts w:eastAsia="Times New Roman" w:cs="Times New Roman"/>
          <w:color w:val="00000A"/>
          <w:lang w:eastAsia="zxx" w:bidi="ar-SA"/>
        </w:rPr>
        <w:t>Journal de Psychologie</w:t>
      </w:r>
      <w:r>
        <w:rPr>
          <w:rFonts w:eastAsia="Times New Roman" w:cs="Times New Roman"/>
          <w:color w:val="00000A"/>
          <w:lang w:eastAsia="zxx" w:bidi="ar-SA"/>
        </w:rPr>
        <w:t xml:space="preserve"> </w:t>
      </w:r>
      <w:r>
        <w:rPr>
          <w:rFonts w:eastAsia="Times New Roman" w:cs="Times New Roman"/>
          <w:color w:val="00000A"/>
          <w:lang w:eastAsia="zxx" w:bidi="ar-SA"/>
        </w:rPr>
        <w:t>55,</w:t>
      </w:r>
      <w:r>
        <w:rPr>
          <w:rFonts w:eastAsia="Times New Roman" w:cs="Times New Roman"/>
          <w:color w:val="00000A"/>
          <w:lang w:eastAsia="zxx" w:bidi="ar-SA"/>
        </w:rPr>
        <w:t xml:space="preserve"> 257-265], 258-266.</w:t>
      </w:r>
    </w:p>
    <w:p>
      <w:pPr>
        <w:pStyle w:val="Slrabreviationsreferencesbibliographiques"/>
        <w:rPr/>
      </w:pPr>
      <w:r>
        <w:rPr>
          <w:rFonts w:eastAsia="Times New Roman" w:cs="Times New Roman"/>
          <w:color w:val="00000A"/>
          <w:lang w:eastAsia="zxx" w:bidi="ar-SA"/>
        </w:rPr>
        <w:t xml:space="preserve">Berschin, </w:t>
      </w:r>
      <w:r>
        <w:rPr>
          <w:rFonts w:eastAsia="Times New Roman" w:cs="Times New Roman"/>
          <w:color w:val="00000A"/>
          <w:lang w:eastAsia="zxx" w:bidi="ar-SA"/>
        </w:rPr>
        <w:t xml:space="preserve">Fernández-Sevilla &amp; Felixberger 2012 = </w:t>
      </w:r>
      <w:r>
        <w:rPr>
          <w:rFonts w:eastAsia="Times New Roman" w:cs="Times New Roman"/>
          <w:color w:val="00000A"/>
          <w:lang w:eastAsia="zxx" w:bidi="ar-SA"/>
        </w:rPr>
        <w:t xml:space="preserve">Helmut </w:t>
      </w:r>
      <w:r>
        <w:rPr>
          <w:rFonts w:eastAsia="Times New Roman" w:cs="Times New Roman"/>
          <w:color w:val="00000A"/>
          <w:lang w:eastAsia="zxx" w:bidi="ar-SA"/>
        </w:rPr>
        <w:t>Berschin</w:t>
      </w:r>
      <w:r>
        <w:rPr>
          <w:rFonts w:eastAsia="Times New Roman" w:cs="Times New Roman"/>
          <w:color w:val="00000A"/>
          <w:lang w:eastAsia="zxx" w:bidi="ar-SA"/>
        </w:rPr>
        <w:t xml:space="preserve">, Julio Fernández-Sevilla, Josef Felixberger 2012. </w:t>
      </w:r>
      <w:r>
        <w:rPr>
          <w:rStyle w:val="Slritalique"/>
          <w:rFonts w:eastAsia="Times New Roman" w:cs="Times New Roman"/>
          <w:iCs w:val="false"/>
          <w:color w:val="00000A"/>
          <w:lang w:eastAsia="zxx" w:bidi="ar-SA"/>
        </w:rPr>
        <w:t>Die spanische Sprache : Verbreitung - Geschichte - Struktur</w:t>
      </w:r>
      <w:r>
        <w:rPr>
          <w:rFonts w:eastAsia="Times New Roman" w:cs="Times New Roman"/>
          <w:color w:val="00000A"/>
          <w:lang w:eastAsia="zxx" w:bidi="ar-SA"/>
        </w:rPr>
        <w:t>. 4e édition. Hildesheim : Olms.</w:t>
      </w:r>
    </w:p>
    <w:p>
      <w:pPr>
        <w:pStyle w:val="Slrabreviationsreferencesbibliographiques"/>
        <w:rPr/>
      </w:pPr>
      <w:r>
        <w:rPr>
          <w:rStyle w:val="Slritalique"/>
          <w:rFonts w:eastAsia="Times New Roman" w:cs="Times New Roman"/>
          <w:iCs/>
          <w:color w:val="00000A"/>
          <w:lang w:eastAsia="zxx" w:bidi="ar-SA"/>
        </w:rPr>
        <w:t>BFM</w:t>
      </w:r>
      <w:r>
        <w:rPr>
          <w:rFonts w:eastAsia="Times New Roman" w:cs="Times New Roman"/>
          <w:color w:val="00000A"/>
          <w:lang w:eastAsia="zxx" w:bidi="ar-SA"/>
        </w:rPr>
        <w:t xml:space="preserve"> = </w:t>
      </w:r>
      <w:r>
        <w:rPr>
          <w:rFonts w:eastAsia="Times New Roman" w:cs="Times New Roman"/>
          <w:color w:val="00000A"/>
          <w:lang w:eastAsia="zxx" w:bidi="ar-SA"/>
        </w:rPr>
        <w:t>École normale supérieure de Lyon</w:t>
      </w:r>
      <w:r>
        <w:rPr>
          <w:rFonts w:eastAsia="Times New Roman" w:cs="Times New Roman"/>
          <w:color w:val="00000A"/>
          <w:lang w:eastAsia="zxx" w:bidi="ar-SA"/>
        </w:rPr>
        <w:t xml:space="preserve"> (éd.) </w:t>
      </w:r>
      <w:r>
        <w:rPr>
          <w:rFonts w:eastAsia="Times New Roman" w:cs="Times New Roman"/>
          <w:color w:val="00000A"/>
          <w:lang w:eastAsia="zxx" w:bidi="ar-SA"/>
        </w:rPr>
        <w:t>1989-</w:t>
      </w:r>
      <w:commentRangeStart w:id="29"/>
      <w:r>
        <w:rPr>
          <w:rFonts w:eastAsia="Times New Roman" w:cs="Times New Roman"/>
          <w:color w:val="00000A"/>
          <w:lang w:eastAsia="zxx" w:bidi="ar-SA"/>
        </w:rPr>
        <w:t>20</w:t>
      </w:r>
      <w:r>
        <w:rPr>
          <w:rFonts w:eastAsia="Times New Roman" w:cs="Times New Roman"/>
          <w:color w:val="00000A"/>
          <w:lang w:eastAsia="zxx" w:bidi="ar-SA"/>
        </w:rPr>
        <w:t>2</w:t>
      </w:r>
      <w:r>
        <w:rPr>
          <w:rFonts w:eastAsia="Times New Roman" w:cs="Times New Roman"/>
          <w:color w:val="00000A"/>
          <w:lang w:eastAsia="zxx" w:bidi="ar-SA"/>
        </w:rPr>
        <w:t>2</w:t>
      </w:r>
      <w:r>
        <w:rPr/>
      </w:r>
      <w:commentRangeEnd w:id="29"/>
      <w:r>
        <w:commentReference w:id="29"/>
      </w:r>
      <w:r>
        <w:rPr>
          <w:rFonts w:eastAsia="Times New Roman" w:cs="Times New Roman"/>
          <w:color w:val="00000A"/>
          <w:lang w:eastAsia="zxx" w:bidi="ar-SA"/>
        </w:rPr>
        <w:t xml:space="preserve">. </w:t>
      </w:r>
      <w:r>
        <w:rPr>
          <w:rStyle w:val="Slritalique"/>
          <w:rFonts w:eastAsia="Times New Roman" w:cs="Times New Roman"/>
          <w:iCs/>
          <w:color w:val="00000A"/>
          <w:lang w:eastAsia="zxx" w:bidi="ar-SA"/>
        </w:rPr>
        <w:t>Base de français médiéval</w:t>
      </w:r>
      <w:r>
        <w:rPr>
          <w:rFonts w:eastAsia="Times New Roman" w:cs="Times New Roman"/>
          <w:color w:val="00000A"/>
          <w:lang w:eastAsia="zxx" w:bidi="ar-SA"/>
        </w:rPr>
        <w:t xml:space="preserve">. </w:t>
      </w:r>
      <w:hyperlink r:id="rId8">
        <w:r>
          <w:rPr>
            <w:rStyle w:val="InternetLink"/>
          </w:rPr>
          <w:t>http://txm.ish-lyon.cnrs.fr/bfm</w:t>
        </w:r>
      </w:hyperlink>
      <w:r>
        <w:rPr>
          <w:rFonts w:eastAsia="Times New Roman" w:cs="Times New Roman"/>
          <w:color w:val="00000A"/>
          <w:lang w:eastAsia="zxx" w:bidi="ar-SA"/>
        </w:rPr>
        <w:t>.</w:t>
      </w:r>
    </w:p>
    <w:p>
      <w:pPr>
        <w:pStyle w:val="Slrabreviationsreferencesbibliographiques"/>
        <w:rPr/>
      </w:pPr>
      <w:r>
        <w:rPr/>
        <w:t xml:space="preserve">Briz Gómez </w:t>
      </w:r>
      <w:r>
        <w:rPr/>
        <w:t>1998 =</w:t>
      </w:r>
      <w:r>
        <w:rPr/>
        <w:t xml:space="preserve"> Antonio </w:t>
      </w:r>
      <w:r>
        <w:rPr/>
        <w:t xml:space="preserve">Briz Gómez </w:t>
      </w:r>
      <w:r>
        <w:rPr/>
        <w:t xml:space="preserve">1998. </w:t>
      </w:r>
      <w:r>
        <w:rPr>
          <w:rStyle w:val="Slritalique"/>
          <w:iCs w:val="false"/>
        </w:rPr>
        <w:t>El español coloquial en la conversación. Esbozo de pragmagramática</w:t>
      </w:r>
      <w:r>
        <w:rPr/>
        <w:t>. Barcelona : Ariel.</w:t>
      </w:r>
    </w:p>
    <w:p>
      <w:pPr>
        <w:pStyle w:val="Slrabreviationsreferencesbibliographiques"/>
        <w:rPr/>
      </w:pPr>
      <w:r>
        <w:rPr/>
        <w:t xml:space="preserve">Caffi </w:t>
      </w:r>
      <w:r>
        <w:rPr/>
        <w:t>1999 =</w:t>
      </w:r>
      <w:r>
        <w:rPr/>
        <w:t xml:space="preserve"> Claudia </w:t>
      </w:r>
      <w:r>
        <w:rPr/>
        <w:t xml:space="preserve">Caffi </w:t>
      </w:r>
      <w:r>
        <w:rPr/>
        <w:t xml:space="preserve">1999. On mitigation. </w:t>
      </w:r>
      <w:r>
        <w:rPr>
          <w:rStyle w:val="Slritalique"/>
        </w:rPr>
        <w:t>Journal of Pragmatics</w:t>
      </w:r>
      <w:r>
        <w:rPr/>
        <w:t xml:space="preserve"> 31</w:t>
      </w:r>
      <w:r>
        <w:rPr>
          <w:b w:val="false"/>
          <w:i w:val="false"/>
          <w:sz w:val="24"/>
          <w:szCs w:val="24"/>
        </w:rPr>
        <w:t>,</w:t>
      </w:r>
      <w:r>
        <w:rPr/>
        <w:t xml:space="preserve"> 881-909.</w:t>
      </w:r>
    </w:p>
    <w:p>
      <w:pPr>
        <w:pStyle w:val="Slrabreviationsreferencesbibliographiques"/>
        <w:rPr/>
      </w:pPr>
      <w:r>
        <w:rPr>
          <w:rStyle w:val="Slritalique"/>
        </w:rPr>
        <w:t>CDH</w:t>
      </w:r>
      <w:r>
        <w:rPr/>
        <w:t xml:space="preserve"> = Instituto de Investigación Rafael Lapesa de la Real Academia Española (</w:t>
      </w:r>
      <w:r>
        <w:rPr/>
        <w:t>é</w:t>
      </w:r>
      <w:r>
        <w:rPr/>
        <w:t xml:space="preserve">d.) </w:t>
      </w:r>
      <w:r>
        <w:rPr/>
        <w:t>2013</w:t>
      </w:r>
      <w:r>
        <w:rPr/>
        <w:t xml:space="preserve">. </w:t>
      </w:r>
      <w:r>
        <w:rPr>
          <w:rStyle w:val="Slritalique"/>
        </w:rPr>
        <w:t>Corpus del Nuevo diccionario histórico del español</w:t>
      </w:r>
      <w:r>
        <w:rPr/>
        <w:t xml:space="preserve">. Madrid: Instituto de Investigación Rafael Lapesa. </w:t>
      </w:r>
      <w:hyperlink r:id="rId9">
        <w:r>
          <w:rPr>
            <w:rStyle w:val="InternetLink"/>
          </w:rPr>
          <w:t>http://web.frl.es/CNDHE</w:t>
        </w:r>
      </w:hyperlink>
      <w:r>
        <w:rPr/>
        <w:t>.</w:t>
      </w:r>
    </w:p>
    <w:p>
      <w:pPr>
        <w:pStyle w:val="Slrabreviationsreferencesbibliographiques"/>
        <w:rPr/>
      </w:pPr>
      <w:r>
        <w:rPr/>
        <w:t xml:space="preserve">Chomsky </w:t>
      </w:r>
      <w:r>
        <w:rPr/>
        <w:t>1959 =</w:t>
      </w:r>
      <w:r>
        <w:rPr/>
        <w:t xml:space="preserve"> Noam </w:t>
      </w:r>
      <w:r>
        <w:rPr/>
        <w:t xml:space="preserve">Chomsky </w:t>
      </w:r>
      <w:r>
        <w:rPr/>
        <w:t xml:space="preserve">1959. </w:t>
      </w:r>
      <w:r>
        <w:rPr/>
        <w:t>Compte rendu de</w:t>
      </w:r>
      <w:r>
        <w:rPr/>
        <w:t xml:space="preserve"> Burrhus F. Skinner 1957. </w:t>
      </w:r>
      <w:r>
        <w:rPr>
          <w:rStyle w:val="Slritalique"/>
          <w:iCs/>
        </w:rPr>
        <w:t>Verbal behavior</w:t>
      </w:r>
      <w:r>
        <w:rPr/>
        <w:t xml:space="preserve">. New </w:t>
      </w:r>
      <w:r>
        <w:rPr/>
        <w:t>York :</w:t>
      </w:r>
      <w:r>
        <w:rPr/>
        <w:t xml:space="preserve"> Appleton-Century-Crofts. </w:t>
      </w:r>
      <w:r>
        <w:rPr>
          <w:rStyle w:val="Slritalique"/>
          <w:iCs/>
        </w:rPr>
        <w:t>Language</w:t>
      </w:r>
      <w:r>
        <w:rPr/>
        <w:t xml:space="preserve"> 35, 26-58.</w:t>
      </w:r>
    </w:p>
    <w:p>
      <w:pPr>
        <w:pStyle w:val="Slrabreviationsreferencesbibliographiques"/>
        <w:rPr/>
      </w:pPr>
      <w:r>
        <w:rPr>
          <w:rStyle w:val="Slritalique"/>
          <w:iCs w:val="false"/>
        </w:rPr>
        <w:t>CORDE</w:t>
      </w:r>
      <w:r>
        <w:rPr/>
        <w:t xml:space="preserve"> = Real Academia Española (</w:t>
      </w:r>
      <w:r>
        <w:rPr/>
        <w:t>é</w:t>
      </w:r>
      <w:r>
        <w:rPr/>
        <w:t xml:space="preserve">d.) 2008. </w:t>
      </w:r>
      <w:r>
        <w:rPr>
          <w:rStyle w:val="Slritalique"/>
          <w:iCs w:val="false"/>
        </w:rPr>
        <w:t>Corpus diacrónico del español (CORDE)</w:t>
      </w:r>
      <w:r>
        <w:rPr/>
        <w:t xml:space="preserve">. </w:t>
      </w:r>
      <w:hyperlink r:id="rId10">
        <w:r>
          <w:rPr>
            <w:rStyle w:val="InternetLink"/>
          </w:rPr>
          <w:t>http://</w:t>
        </w:r>
      </w:hyperlink>
      <w:hyperlink r:id="rId11">
        <w:r>
          <w:rPr>
            <w:rStyle w:val="InternetLink"/>
          </w:rPr>
          <w:t>corpus.rae.es/cordenet.html</w:t>
        </w:r>
      </w:hyperlink>
      <w:r>
        <w:rPr/>
        <w:t>.</w:t>
      </w:r>
    </w:p>
    <w:p>
      <w:pPr>
        <w:pStyle w:val="Slrabreviationsreferencesbibliographiques"/>
        <w:rPr/>
      </w:pPr>
      <w:r>
        <w:rPr>
          <w:rStyle w:val="Slritalique"/>
          <w:iCs/>
        </w:rPr>
        <w:t>COR</w:t>
      </w:r>
      <w:r>
        <w:rPr>
          <w:rStyle w:val="Slritalique"/>
          <w:iCs/>
        </w:rPr>
        <w:t>L</w:t>
      </w:r>
      <w:r>
        <w:rPr>
          <w:rStyle w:val="Slritalique"/>
          <w:iCs/>
        </w:rPr>
        <w:t>EC</w:t>
      </w:r>
      <w:r>
        <w:rPr/>
        <w:t xml:space="preserve"> </w:t>
      </w:r>
      <w:r>
        <w:rPr/>
        <w:t xml:space="preserve">= Francisco Marcos Marín (éd.) 1992. </w:t>
      </w:r>
      <w:r>
        <w:rPr>
          <w:rStyle w:val="Slritalique"/>
          <w:iCs/>
        </w:rPr>
        <w:t>Corpus oral de referencia de la lengua española contemporánea</w:t>
      </w:r>
      <w:r>
        <w:rPr/>
        <w:t xml:space="preserve">. </w:t>
      </w:r>
      <w:hyperlink r:id="rId12">
        <w:r>
          <w:rPr>
            <w:rStyle w:val="InternetLink"/>
          </w:rPr>
          <w:t>http://www.lllf.uam.es/ESP/Corlec.html</w:t>
        </w:r>
      </w:hyperlink>
      <w:r>
        <w:rPr/>
        <w:t>.</w:t>
      </w:r>
    </w:p>
    <w:p>
      <w:pPr>
        <w:pStyle w:val="Slrabreviationsreferencesbibliographiques"/>
        <w:rPr/>
      </w:pPr>
      <w:r>
        <w:rPr/>
        <w:t xml:space="preserve">Corminboeuf, </w:t>
      </w:r>
      <w:r>
        <w:rPr/>
        <w:t xml:space="preserve">Rothenbühler &amp; Sauzet 2020 = </w:t>
      </w:r>
      <w:r>
        <w:rPr/>
        <w:t xml:space="preserve">Gilles </w:t>
      </w:r>
      <w:r>
        <w:rPr/>
        <w:t>Corminboeuf</w:t>
      </w:r>
      <w:r>
        <w:rPr/>
        <w:t xml:space="preserve">, Julie Rothenbühler, Maguelone Sauzet (éds.) 2020. Français parlés et français 'tout court'. </w:t>
      </w:r>
      <w:r>
        <w:rPr>
          <w:rStyle w:val="Slritalique"/>
        </w:rPr>
        <w:t>Studia linguistica romanica</w:t>
      </w:r>
      <w:r>
        <w:rPr/>
        <w:t xml:space="preserve"> 2020.4.</w:t>
      </w:r>
    </w:p>
    <w:p>
      <w:pPr>
        <w:pStyle w:val="Slrabreviationsreferencesbibliographiques"/>
        <w:rPr/>
      </w:pPr>
      <w:r>
        <w:rPr>
          <w:rStyle w:val="Slritalique"/>
        </w:rPr>
        <w:t>CoRoLa</w:t>
      </w:r>
      <w:r>
        <w:rPr/>
        <w:t xml:space="preserve"> = Institutul de cercetări pentru inteligență artificială </w:t>
      </w:r>
      <w:r>
        <w:rPr>
          <w:rStyle w:val="Slritalique"/>
        </w:rPr>
        <w:t>Mihai Drăgănescu</w:t>
      </w:r>
      <w:r>
        <w:rPr/>
        <w:t>, Institutul de informatică teoretică (éds.) 2014-202</w:t>
      </w:r>
      <w:r>
        <w:rPr/>
        <w:t>2</w:t>
      </w:r>
      <w:r>
        <w:rPr/>
        <w:t xml:space="preserve">. </w:t>
      </w:r>
      <w:r>
        <w:rPr>
          <w:rStyle w:val="Slritalique"/>
        </w:rPr>
        <w:t>Corpusul de referință pentru limba română contemporană</w:t>
      </w:r>
      <w:r>
        <w:rPr/>
        <w:t xml:space="preserve">. </w:t>
      </w:r>
      <w:hyperlink r:id="rId13">
        <w:r>
          <w:rPr>
            <w:rStyle w:val="InternetLink"/>
          </w:rPr>
          <w:t>http://corola.racai.ro</w:t>
        </w:r>
      </w:hyperlink>
      <w:r>
        <w:rPr/>
        <w:t>.</w:t>
      </w:r>
    </w:p>
    <w:p>
      <w:pPr>
        <w:pStyle w:val="Slrabreviationsreferencesbibliographiques"/>
        <w:rPr/>
      </w:pPr>
      <w:r>
        <w:rPr>
          <w:rStyle w:val="Slritalique"/>
          <w:iCs w:val="false"/>
        </w:rPr>
        <w:t>CREA</w:t>
      </w:r>
      <w:r>
        <w:rPr/>
        <w:t xml:space="preserve"> = Real Academia Española (</w:t>
      </w:r>
      <w:r>
        <w:rPr/>
        <w:t>é</w:t>
      </w:r>
      <w:r>
        <w:rPr/>
        <w:t xml:space="preserve">d.) 2008. </w:t>
      </w:r>
      <w:r>
        <w:rPr>
          <w:rStyle w:val="Slritalique"/>
          <w:iCs w:val="false"/>
        </w:rPr>
        <w:t>Corpus de referencia del español actual (CREA)</w:t>
      </w:r>
      <w:r>
        <w:rPr/>
        <w:t xml:space="preserve">. </w:t>
      </w:r>
      <w:hyperlink r:id="rId14">
        <w:r>
          <w:rPr>
            <w:rStyle w:val="InternetLink"/>
          </w:rPr>
          <w:t>http://corpus.rae.es/creanet.html</w:t>
        </w:r>
      </w:hyperlink>
      <w:r>
        <w:rPr/>
        <w:t>.</w:t>
      </w:r>
    </w:p>
    <w:p>
      <w:pPr>
        <w:pStyle w:val="Slrabreviationsreferencesbibliographiques"/>
        <w:rPr/>
      </w:pPr>
      <w:r>
        <w:rPr/>
        <w:t xml:space="preserve">Dante </w:t>
      </w:r>
      <w:r>
        <w:rPr>
          <w:rStyle w:val="Slritalique"/>
          <w:iCs/>
        </w:rPr>
        <w:t>Vita nuova</w:t>
      </w:r>
      <w:r>
        <w:rPr/>
        <w:t xml:space="preserve"> = </w:t>
      </w:r>
      <w:r>
        <w:rPr/>
        <w:t xml:space="preserve">Dante Alighieri. </w:t>
      </w:r>
      <w:r>
        <w:rPr>
          <w:rStyle w:val="Slritalique"/>
          <w:iCs/>
        </w:rPr>
        <w:t>Vita nuova</w:t>
      </w:r>
      <w:r>
        <w:rPr/>
        <w:t xml:space="preserve">. </w:t>
      </w:r>
      <w:r>
        <w:rPr/>
        <w:t>Giorgio Bárberi Squarotti et al. (éds.) 1983. Torino :</w:t>
      </w:r>
      <w:r>
        <w:rPr/>
        <w:t xml:space="preserve"> UTET</w:t>
      </w:r>
      <w:r>
        <w:rPr/>
        <w:t>.</w:t>
      </w:r>
    </w:p>
    <w:p>
      <w:pPr>
        <w:pStyle w:val="Slrabreviationsreferencesbibliographiques"/>
        <w:rPr/>
      </w:pPr>
      <w:commentRangeStart w:id="30"/>
      <w:r>
        <w:rPr>
          <w:rStyle w:val="Slritalique"/>
        </w:rPr>
        <w:t>DEAF</w:t>
      </w:r>
      <w:r>
        <w:rPr/>
      </w:r>
      <w:commentRangeEnd w:id="30"/>
      <w:r>
        <w:commentReference w:id="30"/>
      </w:r>
      <w:r>
        <w:rPr/>
        <w:t xml:space="preserve"> = Heidelberger Akademie der Wissenschaften (éd.) 2010-202</w:t>
      </w:r>
      <w:r>
        <w:rPr/>
        <w:t>2</w:t>
      </w:r>
      <w:r>
        <w:rPr/>
        <w:t xml:space="preserve">. </w:t>
      </w:r>
      <w:r>
        <w:rPr>
          <w:rStyle w:val="Slritalique"/>
        </w:rPr>
        <w:t>Dictionnaire étymologique de l'ancien français</w:t>
      </w:r>
      <w:r>
        <w:rPr/>
        <w:t xml:space="preserve">. </w:t>
      </w:r>
      <w:hyperlink r:id="rId15">
        <w:r>
          <w:rPr>
            <w:rStyle w:val="InternetLink"/>
          </w:rPr>
          <w:t>http://www.deaf-page.de</w:t>
        </w:r>
      </w:hyperlink>
      <w:r>
        <w:rPr/>
        <w:t>.</w:t>
      </w:r>
    </w:p>
    <w:p>
      <w:pPr>
        <w:pStyle w:val="Slrabreviationsreferencesbibliographiques"/>
        <w:rPr/>
      </w:pPr>
      <w:r>
        <w:rPr/>
        <w:t xml:space="preserve">Deng </w:t>
      </w:r>
      <w:r>
        <w:rPr/>
        <w:t xml:space="preserve">2018 = </w:t>
      </w:r>
      <w:r>
        <w:rPr/>
        <w:t xml:space="preserve">Delin </w:t>
      </w:r>
      <w:r>
        <w:rPr/>
        <w:t xml:space="preserve">Deng </w:t>
      </w:r>
      <w:r>
        <w:rPr/>
        <w:t xml:space="preserve">2018. </w:t>
      </w:r>
      <w:r>
        <w:rPr>
          <w:rStyle w:val="Slritalique"/>
          <w:iCs w:val="false"/>
        </w:rPr>
        <w:t>Comme c'est un peu langage des jeunes quoi</w:t>
      </w:r>
      <w:r>
        <w:rPr/>
        <w:t xml:space="preserve"> : analyse du marqueur discursif </w:t>
      </w:r>
      <w:r>
        <w:rPr>
          <w:rStyle w:val="Slritalique"/>
          <w:iCs w:val="false"/>
        </w:rPr>
        <w:t>quoi</w:t>
      </w:r>
      <w:r>
        <w:rPr/>
        <w:t xml:space="preserve"> dans le discours des Chinois résidant en France. Frank Neveu et al. (éds.). </w:t>
      </w:r>
      <w:r>
        <w:rPr>
          <w:rStyle w:val="Slritalique"/>
          <w:iCs w:val="false"/>
        </w:rPr>
        <w:t>6e Congrès mondial de linguistique française, Université de Mons, Belgique, 9-13 juillet 2018</w:t>
      </w:r>
      <w:r>
        <w:rPr/>
        <w:t xml:space="preserve">. </w:t>
      </w:r>
      <w:hyperlink r:id="rId16">
        <w:r>
          <w:rPr>
            <w:rStyle w:val="InternetLink"/>
          </w:rPr>
          <w:t>https://doi.org/10.1051/shsconf/20184613001</w:t>
        </w:r>
      </w:hyperlink>
      <w:r>
        <w:rPr/>
        <w:t>.</w:t>
      </w:r>
    </w:p>
    <w:p>
      <w:pPr>
        <w:pStyle w:val="Slrabreviationsreferencesbibliographiques"/>
        <w:rPr/>
      </w:pPr>
      <w:r>
        <w:rPr>
          <w:rStyle w:val="Slritalique"/>
        </w:rPr>
        <w:t>DMF</w:t>
      </w:r>
      <w:r>
        <w:rPr/>
        <w:t xml:space="preserve"> = Laboratoire Analyse et traitement informatique de la langue française (ATILF) (éd.) 2020. </w:t>
      </w:r>
      <w:r>
        <w:rPr>
          <w:rStyle w:val="Slritalique"/>
        </w:rPr>
        <w:t>Dictionnaire du moyen français</w:t>
      </w:r>
      <w:r>
        <w:rPr/>
        <w:t xml:space="preserve">. </w:t>
      </w:r>
      <w:hyperlink r:id="rId17">
        <w:r>
          <w:rPr>
            <w:rStyle w:val="InternetLink"/>
          </w:rPr>
          <w:t>http://zeus.atilf.fr/dmf</w:t>
        </w:r>
      </w:hyperlink>
      <w:r>
        <w:rPr/>
        <w:t>.</w:t>
      </w:r>
    </w:p>
    <w:p>
      <w:pPr>
        <w:pStyle w:val="Slrabreviationsreferencesbibliographiques"/>
        <w:rPr/>
      </w:pPr>
      <w:r>
        <w:rPr/>
        <w:t xml:space="preserve">Du Cange </w:t>
      </w:r>
      <w:r>
        <w:rPr/>
        <w:t xml:space="preserve">et al. 1883-1887 [1678] = </w:t>
      </w:r>
      <w:r>
        <w:rPr/>
        <w:t xml:space="preserve">Charles du Fresne </w:t>
      </w:r>
      <w:r>
        <w:rPr/>
        <w:t>Du Cange</w:t>
      </w:r>
      <w:r>
        <w:rPr/>
        <w:t xml:space="preserve"> et al. 1883-1887 [1678]. </w:t>
      </w:r>
      <w:r>
        <w:rPr>
          <w:rStyle w:val="Slritalique"/>
          <w:iCs/>
        </w:rPr>
        <w:t>Glossarium mediæ et infimæ latinitatis</w:t>
      </w:r>
      <w:r>
        <w:rPr/>
        <w:t xml:space="preserve">. </w:t>
      </w:r>
      <w:r>
        <w:rPr/>
        <w:t>Niort :</w:t>
      </w:r>
      <w:r>
        <w:rPr/>
        <w:t xml:space="preserve"> Favre.</w:t>
      </w:r>
    </w:p>
    <w:p>
      <w:pPr>
        <w:pStyle w:val="Slrabreviationsreferencesbibliographiques"/>
        <w:rPr/>
      </w:pPr>
      <w:r>
        <w:rPr>
          <w:rFonts w:cs="Arial"/>
          <w:highlight w:val="white"/>
        </w:rPr>
        <w:t xml:space="preserve">Fava 1995 = </w:t>
      </w:r>
      <w:r>
        <w:rPr>
          <w:rFonts w:cs="Arial"/>
          <w:highlight w:val="white"/>
        </w:rPr>
        <w:t xml:space="preserve">Elisabetta </w:t>
      </w:r>
      <w:r>
        <w:rPr>
          <w:rFonts w:cs="Arial"/>
          <w:highlight w:val="white"/>
        </w:rPr>
        <w:t xml:space="preserve">Fava </w:t>
      </w:r>
      <w:r>
        <w:rPr>
          <w:rFonts w:cs="Arial"/>
          <w:highlight w:val="white"/>
        </w:rPr>
        <w:t>1995. Tipi di atti e tipi di frasi. Lorenzo Renzi, Giampaolo Salvi, Anna Cardinaletti (</w:t>
      </w:r>
      <w:r>
        <w:rPr>
          <w:rFonts w:cs="Arial"/>
          <w:highlight w:val="white"/>
        </w:rPr>
        <w:t>éd</w:t>
      </w:r>
      <w:r>
        <w:rPr>
          <w:rFonts w:cs="Arial"/>
          <w:highlight w:val="white"/>
        </w:rPr>
        <w:t>s</w:t>
      </w:r>
      <w:r>
        <w:rPr>
          <w:rFonts w:cs="Arial"/>
          <w:highlight w:val="white"/>
        </w:rPr>
        <w:t>.).</w:t>
      </w:r>
      <w:r>
        <w:rPr>
          <w:rFonts w:cs="Arial"/>
          <w:i w:val="false"/>
          <w:iCs w:val="false"/>
          <w:highlight w:val="white"/>
        </w:rPr>
        <w:t xml:space="preserve"> </w:t>
      </w:r>
      <w:r>
        <w:rPr>
          <w:rStyle w:val="Slritalique"/>
          <w:rFonts w:cs="Arial"/>
          <w:iCs/>
          <w:highlight w:val="white"/>
        </w:rPr>
        <w:t>Grande grammatica italiana di consultazione. Vol. 3. Tipi di frasi, deissi, formazione delle parole</w:t>
      </w:r>
      <w:r>
        <w:rPr>
          <w:rFonts w:cs="Arial"/>
          <w:i w:val="false"/>
          <w:iCs w:val="false"/>
          <w:highlight w:val="white"/>
        </w:rPr>
        <w:t>. Bologna</w:t>
      </w:r>
      <w:r>
        <w:rPr>
          <w:rFonts w:cs="Arial"/>
          <w:b w:val="false"/>
          <w:i w:val="false"/>
          <w:iCs w:val="false"/>
          <w:sz w:val="24"/>
          <w:szCs w:val="24"/>
          <w:highlight w:val="white"/>
        </w:rPr>
        <w:t> </w:t>
      </w:r>
      <w:r>
        <w:rPr>
          <w:rFonts w:cs="Arial"/>
          <w:i w:val="false"/>
          <w:iCs w:val="false"/>
          <w:highlight w:val="white"/>
        </w:rPr>
        <w:t>: Il Mulino, 19-48.</w:t>
      </w:r>
    </w:p>
    <w:p>
      <w:pPr>
        <w:pStyle w:val="Slrabreviationsreferencesbibliographiques"/>
        <w:rPr/>
      </w:pPr>
      <w:r>
        <w:rPr>
          <w:rStyle w:val="Slritalique"/>
          <w:rFonts w:cs="Arial"/>
          <w:iCs w:val="false"/>
          <w:highlight w:val="white"/>
        </w:rPr>
        <w:t>FEW</w:t>
      </w:r>
      <w:r>
        <w:rPr>
          <w:rFonts w:cs="Arial"/>
          <w:i w:val="false"/>
          <w:iCs w:val="false"/>
          <w:highlight w:val="white"/>
        </w:rPr>
        <w:t xml:space="preserve"> = Walther von Wartburg </w:t>
      </w:r>
      <w:r>
        <w:rPr>
          <w:rFonts w:cs="Arial"/>
          <w:i w:val="false"/>
          <w:iCs w:val="false"/>
          <w:highlight w:val="white"/>
        </w:rPr>
        <w:t>et al.</w:t>
      </w:r>
      <w:r>
        <w:rPr>
          <w:rFonts w:cs="Arial"/>
          <w:i w:val="false"/>
          <w:iCs w:val="false"/>
          <w:highlight w:val="white"/>
        </w:rPr>
        <w:t xml:space="preserve"> 1928-2002. </w:t>
      </w:r>
      <w:r>
        <w:rPr>
          <w:rStyle w:val="Slritalique"/>
          <w:rFonts w:cs="Arial"/>
          <w:iCs w:val="false"/>
          <w:highlight w:val="white"/>
        </w:rPr>
        <w:t>Französisches etymologisches Wörterbuch: eine Darstellung des galloromanischen Sprachschatzes</w:t>
      </w:r>
      <w:r>
        <w:rPr>
          <w:rFonts w:cs="Arial"/>
          <w:i w:val="false"/>
          <w:iCs w:val="false"/>
          <w:highlight w:val="white"/>
        </w:rPr>
        <w:t xml:space="preserve">. Bonn, Basel, </w:t>
      </w:r>
      <w:r>
        <w:rPr>
          <w:rFonts w:cs="Arial"/>
          <w:i w:val="false"/>
          <w:iCs w:val="false"/>
          <w:highlight w:val="white"/>
        </w:rPr>
        <w:t>Leipzig :</w:t>
      </w:r>
      <w:r>
        <w:rPr>
          <w:rFonts w:cs="Arial"/>
          <w:i w:val="false"/>
          <w:iCs w:val="false"/>
          <w:highlight w:val="white"/>
        </w:rPr>
        <w:t xml:space="preserve"> Helbing &amp; Lichtenhahn, Klopp, Teubner, Zbinden.</w:t>
      </w:r>
    </w:p>
    <w:p>
      <w:pPr>
        <w:pStyle w:val="Slrabreviationsreferencesbibliographiques"/>
        <w:rPr/>
      </w:pPr>
      <w:r>
        <w:rPr>
          <w:rStyle w:val="Slritalique"/>
          <w:iCs/>
        </w:rPr>
        <w:t>Frantext</w:t>
      </w:r>
      <w:r>
        <w:rPr/>
        <w:t xml:space="preserve"> = Laboratoire </w:t>
      </w:r>
      <w:r>
        <w:rPr/>
        <w:t>Analyse et traitement informatique de la langue française (</w:t>
      </w:r>
      <w:r>
        <w:rPr/>
        <w:t>ATILF</w:t>
      </w:r>
      <w:r>
        <w:rPr/>
        <w:t>)</w:t>
      </w:r>
      <w:r>
        <w:rPr/>
        <w:t xml:space="preserve"> (éd.) </w:t>
      </w:r>
      <w:r>
        <w:rPr/>
        <w:t>1998-2022</w:t>
      </w:r>
      <w:r>
        <w:rPr/>
        <w:t xml:space="preserve">. </w:t>
      </w:r>
      <w:r>
        <w:rPr>
          <w:rStyle w:val="Slritalique"/>
          <w:iCs/>
        </w:rPr>
        <w:t>Base textuelle Frantext</w:t>
      </w:r>
      <w:r>
        <w:rPr/>
        <w:t xml:space="preserve">. </w:t>
      </w:r>
      <w:hyperlink r:id="rId18">
        <w:r>
          <w:rPr>
            <w:rStyle w:val="InternetLink"/>
          </w:rPr>
          <w:t>http://www.frantext.fr</w:t>
        </w:r>
      </w:hyperlink>
      <w:r>
        <w:rPr/>
        <w:t>.</w:t>
      </w:r>
    </w:p>
    <w:p>
      <w:pPr>
        <w:pStyle w:val="Slrabreviationsreferencesbibliographiques"/>
        <w:rPr/>
      </w:pPr>
      <w:r>
        <w:rPr>
          <w:rFonts w:cs="Arial"/>
          <w:i w:val="false"/>
          <w:iCs w:val="false"/>
          <w:highlight w:val="white"/>
        </w:rPr>
        <w:t xml:space="preserve">Hamers </w:t>
      </w:r>
      <w:r>
        <w:rPr>
          <w:rFonts w:cs="Arial"/>
          <w:i w:val="false"/>
          <w:iCs w:val="false"/>
          <w:highlight w:val="white"/>
        </w:rPr>
        <w:t xml:space="preserve">&amp; Blanc 2000 [1983] = </w:t>
      </w:r>
      <w:r>
        <w:rPr>
          <w:rFonts w:cs="Arial"/>
          <w:i w:val="false"/>
          <w:iCs w:val="false"/>
          <w:highlight w:val="white"/>
        </w:rPr>
        <w:t xml:space="preserve">Josiane F. </w:t>
      </w:r>
      <w:r>
        <w:rPr>
          <w:rFonts w:cs="Arial"/>
          <w:i w:val="false"/>
          <w:iCs w:val="false"/>
          <w:highlight w:val="white"/>
        </w:rPr>
        <w:t>Hamers</w:t>
      </w:r>
      <w:r>
        <w:rPr>
          <w:rFonts w:cs="Arial"/>
          <w:i w:val="false"/>
          <w:iCs w:val="false"/>
          <w:highlight w:val="white"/>
        </w:rPr>
        <w:t xml:space="preserve">, Michel H. A. Blanc 2000 [1983]. </w:t>
      </w:r>
      <w:r>
        <w:rPr>
          <w:rStyle w:val="Slritalique"/>
          <w:rFonts w:cs="Arial"/>
          <w:iCs w:val="false"/>
          <w:highlight w:val="white"/>
        </w:rPr>
        <w:t>Bilinguality and bilingualism</w:t>
      </w:r>
      <w:r>
        <w:rPr>
          <w:rFonts w:cs="Arial"/>
          <w:i w:val="false"/>
          <w:iCs w:val="false"/>
          <w:highlight w:val="white"/>
        </w:rPr>
        <w:t xml:space="preserve">. </w:t>
      </w:r>
      <w:r>
        <w:rPr>
          <w:rFonts w:cs="Arial"/>
          <w:i w:val="false"/>
          <w:iCs w:val="false"/>
          <w:highlight w:val="white"/>
        </w:rPr>
        <w:t>2e édition</w:t>
      </w:r>
      <w:r>
        <w:rPr>
          <w:rFonts w:cs="Arial"/>
          <w:i w:val="false"/>
          <w:iCs w:val="false"/>
          <w:highlight w:val="white"/>
        </w:rPr>
        <w:t>. Cambridge</w:t>
      </w:r>
      <w:r>
        <w:rPr>
          <w:rFonts w:eastAsia="Times New Roman" w:cs="Times New Roman"/>
          <w:b w:val="false"/>
          <w:i w:val="false"/>
          <w:iCs w:val="false"/>
          <w:color w:val="00000A"/>
          <w:sz w:val="24"/>
          <w:szCs w:val="24"/>
          <w:highlight w:val="white"/>
          <w:lang w:eastAsia="zxx" w:bidi="ar-SA"/>
        </w:rPr>
        <w:t> </w:t>
      </w:r>
      <w:r>
        <w:rPr>
          <w:rFonts w:cs="Arial"/>
          <w:i w:val="false"/>
          <w:iCs w:val="false"/>
          <w:highlight w:val="white"/>
        </w:rPr>
        <w:t>: Cambridge University Press [</w:t>
      </w:r>
      <w:r>
        <w:rPr>
          <w:rFonts w:cs="Arial"/>
          <w:i w:val="false"/>
          <w:iCs w:val="false"/>
          <w:highlight w:val="white"/>
        </w:rPr>
        <w:t>t</w:t>
      </w:r>
      <w:r>
        <w:rPr>
          <w:rFonts w:cs="Arial"/>
          <w:i w:val="false"/>
          <w:iCs w:val="false"/>
          <w:highlight w:val="white"/>
        </w:rPr>
        <w:t>raduction de</w:t>
      </w:r>
      <w:r>
        <w:rPr>
          <w:rFonts w:cs="Arial"/>
          <w:i w:val="false"/>
          <w:iCs w:val="false"/>
          <w:highlight w:val="white"/>
        </w:rPr>
        <w:t xml:space="preserve"> </w:t>
      </w:r>
      <w:r>
        <w:rPr>
          <w:rStyle w:val="Slritalique"/>
          <w:rFonts w:cs="Arial"/>
          <w:iCs w:val="false"/>
          <w:highlight w:val="white"/>
        </w:rPr>
        <w:t>Bilingualité et bilinguisme</w:t>
      </w:r>
      <w:r>
        <w:rPr>
          <w:rFonts w:cs="Arial"/>
          <w:i w:val="false"/>
          <w:iCs w:val="false"/>
          <w:highlight w:val="white"/>
        </w:rPr>
        <w:t>. Liège : Mardaga].</w:t>
      </w:r>
    </w:p>
    <w:p>
      <w:pPr>
        <w:pStyle w:val="Slrabreviationsreferencesbibliographiques"/>
        <w:rPr/>
      </w:pPr>
      <w:r>
        <w:rPr>
          <w:rFonts w:cs="Arial"/>
          <w:i w:val="false"/>
          <w:iCs w:val="false"/>
          <w:highlight w:val="white"/>
        </w:rPr>
        <w:t xml:space="preserve">IDS = Leibniz-Institut für </w:t>
      </w:r>
      <w:r>
        <w:rPr>
          <w:rFonts w:cs="Arial"/>
          <w:i w:val="false"/>
          <w:iCs w:val="false"/>
          <w:highlight w:val="white"/>
        </w:rPr>
        <w:t>d</w:t>
      </w:r>
      <w:r>
        <w:rPr>
          <w:rFonts w:cs="Arial"/>
          <w:i w:val="false"/>
          <w:iCs w:val="false"/>
          <w:highlight w:val="white"/>
        </w:rPr>
        <w:t xml:space="preserve">eutsche Sprache. </w:t>
      </w:r>
      <w:hyperlink r:id="rId19">
        <w:r>
          <w:rPr>
            <w:rStyle w:val="InternetLink"/>
            <w:rFonts w:cs="Arial"/>
            <w:i w:val="false"/>
            <w:iCs w:val="false"/>
            <w:highlight w:val="white"/>
          </w:rPr>
          <w:t>https://www.ids-mannheim.de</w:t>
        </w:r>
      </w:hyperlink>
      <w:r>
        <w:rPr>
          <w:rFonts w:cs="Arial"/>
          <w:i w:val="false"/>
          <w:iCs w:val="false"/>
          <w:highlight w:val="white"/>
        </w:rPr>
        <w:t>.</w:t>
      </w:r>
    </w:p>
    <w:p>
      <w:pPr>
        <w:pStyle w:val="Slrabreviationsreferencesbibliographiques"/>
        <w:rPr/>
      </w:pPr>
      <w:r>
        <w:rPr>
          <w:rFonts w:cs="Arial"/>
          <w:i w:val="false"/>
          <w:iCs w:val="false"/>
          <w:highlight w:val="white"/>
        </w:rPr>
        <w:t xml:space="preserve">Kahane </w:t>
      </w:r>
      <w:r>
        <w:rPr>
          <w:rFonts w:cs="Arial"/>
          <w:i w:val="false"/>
          <w:iCs w:val="false"/>
          <w:highlight w:val="white"/>
        </w:rPr>
        <w:t xml:space="preserve">&amp; Pietrandrea 2012 = </w:t>
      </w:r>
      <w:r>
        <w:rPr>
          <w:rFonts w:cs="Arial"/>
          <w:i w:val="false"/>
          <w:iCs w:val="false"/>
          <w:highlight w:val="white"/>
        </w:rPr>
        <w:t xml:space="preserve">Sylvain </w:t>
      </w:r>
      <w:r>
        <w:rPr>
          <w:rFonts w:cs="Arial"/>
          <w:i w:val="false"/>
          <w:iCs w:val="false"/>
          <w:highlight w:val="white"/>
        </w:rPr>
        <w:t>Kahane</w:t>
      </w:r>
      <w:r>
        <w:rPr>
          <w:rFonts w:cs="Arial"/>
          <w:i w:val="false"/>
          <w:iCs w:val="false"/>
          <w:highlight w:val="white"/>
        </w:rPr>
        <w:t xml:space="preserve">, Paola Pietrandrea 2012. La typologie des entassements en français. Franck Neveu et al. (éds.). </w:t>
      </w:r>
      <w:r>
        <w:rPr>
          <w:rStyle w:val="Slritalique"/>
          <w:rFonts w:cs="Arial"/>
          <w:iCs w:val="false"/>
          <w:highlight w:val="white"/>
        </w:rPr>
        <w:t>CMLF 2012 - 3e Congrès mondial de Linguistique française</w:t>
      </w:r>
      <w:r>
        <w:rPr>
          <w:rFonts w:cs="Arial"/>
          <w:i w:val="false"/>
          <w:iCs w:val="false"/>
          <w:highlight w:val="white"/>
        </w:rPr>
        <w:t xml:space="preserve">, 1809-1828. </w:t>
      </w:r>
      <w:hyperlink r:id="rId20">
        <w:r>
          <w:rPr>
            <w:rStyle w:val="InternetLink"/>
            <w:rFonts w:cs="Arial"/>
            <w:i w:val="false"/>
            <w:iCs w:val="false"/>
            <w:highlight w:val="white"/>
          </w:rPr>
          <w:t>https://doi.org/10.1051/shsconf/20120100238</w:t>
        </w:r>
      </w:hyperlink>
      <w:r>
        <w:rPr>
          <w:rFonts w:cs="Arial"/>
          <w:i w:val="false"/>
          <w:iCs w:val="false"/>
          <w:highlight w:val="white"/>
        </w:rPr>
        <w:t>.</w:t>
      </w:r>
    </w:p>
    <w:p>
      <w:pPr>
        <w:pStyle w:val="Slrabreviationsreferencesbibliographiques"/>
        <w:rPr/>
      </w:pPr>
      <w:r>
        <w:rPr>
          <w:rStyle w:val="Slritalique"/>
          <w:rFonts w:cs="Arial"/>
          <w:iCs w:val="false"/>
          <w:highlight w:val="white"/>
        </w:rPr>
        <w:t>LIP</w:t>
      </w:r>
      <w:r>
        <w:rPr>
          <w:rFonts w:cs="Arial"/>
          <w:i w:val="false"/>
          <w:iCs w:val="false"/>
          <w:highlight w:val="white"/>
        </w:rPr>
        <w:t xml:space="preserve"> = De Mauro et al. 1993. </w:t>
      </w:r>
      <w:r>
        <w:rPr>
          <w:rStyle w:val="Slritalique"/>
          <w:rFonts w:cs="Arial"/>
          <w:iCs w:val="false"/>
          <w:highlight w:val="white"/>
        </w:rPr>
        <w:t>Lessico di frequenza dell'italiano parlato</w:t>
      </w:r>
      <w:r>
        <w:rPr>
          <w:rFonts w:cs="Arial"/>
          <w:i w:val="false"/>
          <w:iCs w:val="false"/>
          <w:highlight w:val="white"/>
        </w:rPr>
        <w:t>. Milano : Etas Libri.</w:t>
      </w:r>
    </w:p>
    <w:p>
      <w:pPr>
        <w:pStyle w:val="Slrabreviationsreferencesbibliographiques"/>
        <w:rPr/>
      </w:pPr>
      <w:r>
        <w:rPr/>
        <w:t xml:space="preserve">LLL = Laboratoire ligérien de linguistique. </w:t>
      </w:r>
      <w:hyperlink r:id="rId21">
        <w:r>
          <w:rPr>
            <w:rStyle w:val="InternetLink"/>
          </w:rPr>
          <w:t>http://www.univ-orleans.fr/fr/lll</w:t>
        </w:r>
      </w:hyperlink>
      <w:r>
        <w:rPr/>
        <w:t>.</w:t>
      </w:r>
    </w:p>
    <w:p>
      <w:pPr>
        <w:pStyle w:val="Slrabreviationsreferencesbibliographiques"/>
        <w:rPr/>
      </w:pPr>
      <w:r>
        <w:rPr>
          <w:rFonts w:cs="Arial"/>
          <w:i w:val="false"/>
          <w:iCs w:val="false"/>
          <w:highlight w:val="white"/>
        </w:rPr>
        <w:t xml:space="preserve">MD = </w:t>
      </w:r>
      <w:r>
        <w:rPr>
          <w:rFonts w:cs="Arial"/>
          <w:i w:val="false"/>
          <w:iCs w:val="false"/>
          <w:highlight w:val="white"/>
        </w:rPr>
        <w:t>M</w:t>
      </w:r>
      <w:r>
        <w:rPr>
          <w:rFonts w:cs="Arial"/>
          <w:i w:val="false"/>
          <w:iCs w:val="false"/>
          <w:highlight w:val="white"/>
        </w:rPr>
        <w:t>arqueur de discours.</w:t>
      </w:r>
    </w:p>
    <w:p>
      <w:pPr>
        <w:pStyle w:val="Slrabreviationsreferencesbibliographiques"/>
        <w:rPr/>
      </w:pPr>
      <w:r>
        <w:rPr>
          <w:rFonts w:eastAsia="Times New Roman" w:cs="Times New Roman"/>
          <w:i w:val="false"/>
          <w:iCs w:val="false"/>
          <w:color w:val="00000A"/>
          <w:lang w:eastAsia="zxx" w:bidi="ar-SA"/>
        </w:rPr>
        <w:t xml:space="preserve">Molina Martos </w:t>
      </w:r>
      <w:r>
        <w:rPr>
          <w:rFonts w:eastAsia="Times New Roman" w:cs="Times New Roman"/>
          <w:i w:val="false"/>
          <w:iCs w:val="false"/>
          <w:color w:val="00000A"/>
          <w:lang w:eastAsia="zxx" w:bidi="ar-SA"/>
        </w:rPr>
        <w:t xml:space="preserve">2017 = </w:t>
      </w:r>
      <w:r>
        <w:rPr>
          <w:rFonts w:eastAsia="Times New Roman" w:cs="Times New Roman"/>
          <w:i w:val="false"/>
          <w:iCs w:val="false"/>
          <w:color w:val="00000A"/>
          <w:lang w:eastAsia="zxx" w:bidi="ar-SA"/>
        </w:rPr>
        <w:t xml:space="preserve">Isabel </w:t>
      </w:r>
      <w:r>
        <w:rPr>
          <w:rFonts w:eastAsia="Times New Roman" w:cs="Times New Roman"/>
          <w:i w:val="false"/>
          <w:iCs w:val="false"/>
          <w:color w:val="00000A"/>
          <w:lang w:eastAsia="zxx" w:bidi="ar-SA"/>
        </w:rPr>
        <w:t xml:space="preserve">Molina Martos </w:t>
      </w:r>
      <w:r>
        <w:rPr>
          <w:rFonts w:eastAsia="Times New Roman" w:cs="Times New Roman"/>
          <w:i w:val="false"/>
          <w:iCs w:val="false"/>
          <w:color w:val="00000A"/>
          <w:lang w:eastAsia="zxx" w:bidi="ar-SA"/>
        </w:rPr>
        <w:t xml:space="preserve">2017. El apéndice interrogativo </w:t>
      </w:r>
      <w:r>
        <w:rPr>
          <w:rStyle w:val="Slritalique"/>
          <w:rFonts w:eastAsia="Times New Roman" w:cs="Times New Roman"/>
          <w:iCs/>
          <w:color w:val="00000A"/>
          <w:lang w:eastAsia="zxx" w:bidi="ar-SA"/>
        </w:rPr>
        <w:t>¿sabes?</w:t>
      </w:r>
      <w:r>
        <w:rPr>
          <w:rFonts w:eastAsia="Times New Roman" w:cs="Times New Roman"/>
          <w:i w:val="false"/>
          <w:iCs w:val="false"/>
          <w:color w:val="00000A"/>
          <w:lang w:eastAsia="zxx" w:bidi="ar-SA"/>
        </w:rPr>
        <w:t xml:space="preserve"> y su doble difusión en la estructura social de la periferia de Madrid (Vallecas). </w:t>
      </w:r>
      <w:r>
        <w:rPr>
          <w:rStyle w:val="Slritalique"/>
          <w:rFonts w:eastAsia="Times New Roman" w:cs="Times New Roman"/>
          <w:iCs/>
          <w:color w:val="00000A"/>
          <w:lang w:eastAsia="zxx" w:bidi="ar-SA"/>
        </w:rPr>
        <w:t>Lingüística en la red</w:t>
      </w:r>
      <w:r>
        <w:rPr>
          <w:rFonts w:eastAsia="Times New Roman" w:cs="Times New Roman"/>
          <w:i w:val="false"/>
          <w:iCs w:val="false"/>
          <w:color w:val="00000A"/>
          <w:lang w:eastAsia="zxx" w:bidi="ar-SA"/>
        </w:rPr>
        <w:t xml:space="preserve"> 15. </w:t>
      </w:r>
      <w:hyperlink r:id="rId22">
        <w:r>
          <w:rPr>
            <w:rStyle w:val="InternetLink"/>
            <w:rFonts w:eastAsia="Times New Roman" w:cs="Times New Roman"/>
            <w:i w:val="false"/>
            <w:iCs w:val="false"/>
            <w:lang w:eastAsia="zxx" w:bidi="ar-SA"/>
          </w:rPr>
          <w:t>http://www.linred.es/monograficos_pdf/LR-monografico15-articulo6.pdf</w:t>
        </w:r>
      </w:hyperlink>
      <w:r>
        <w:rPr>
          <w:rFonts w:eastAsia="Times New Roman" w:cs="Times New Roman"/>
          <w:i w:val="false"/>
          <w:iCs w:val="false"/>
          <w:color w:val="00000A"/>
          <w:lang w:eastAsia="zxx" w:bidi="ar-SA"/>
        </w:rPr>
        <w:t>.</w:t>
      </w:r>
    </w:p>
    <w:p>
      <w:pPr>
        <w:pStyle w:val="Slrabreviationsreferencesbibliographiques"/>
        <w:rPr/>
      </w:pPr>
      <w:r>
        <w:rPr>
          <w:rFonts w:eastAsia="Times New Roman" w:cs="Times New Roman"/>
          <w:i w:val="false"/>
          <w:iCs w:val="false"/>
          <w:color w:val="00000A"/>
          <w:lang w:eastAsia="zxx" w:bidi="ar-SA"/>
        </w:rPr>
        <w:t xml:space="preserve">Montaigne </w:t>
      </w:r>
      <w:r>
        <w:rPr>
          <w:rFonts w:eastAsia="Times New Roman" w:cs="Times New Roman"/>
          <w:i w:val="false"/>
          <w:iCs w:val="false"/>
          <w:color w:val="00000A"/>
          <w:lang w:eastAsia="zxx" w:bidi="ar-SA"/>
        </w:rPr>
        <w:t xml:space="preserve">1588 = </w:t>
      </w:r>
      <w:r>
        <w:rPr>
          <w:rFonts w:eastAsia="Times New Roman" w:cs="Times New Roman"/>
          <w:i w:val="false"/>
          <w:iCs w:val="false"/>
          <w:color w:val="00000A"/>
          <w:lang w:eastAsia="zxx" w:bidi="ar-SA"/>
        </w:rPr>
        <w:t>M</w:t>
      </w:r>
      <w:r>
        <w:rPr>
          <w:rFonts w:eastAsia="Times New Roman" w:cs="Times New Roman"/>
          <w:i w:val="false"/>
          <w:iCs w:val="false"/>
          <w:color w:val="00000A"/>
          <w:lang w:eastAsia="zxx" w:bidi="ar-SA"/>
        </w:rPr>
        <w:t>ichel</w:t>
      </w:r>
      <w:r>
        <w:rPr>
          <w:rFonts w:eastAsia="Times New Roman" w:cs="Times New Roman"/>
          <w:i w:val="false"/>
          <w:iCs w:val="false"/>
          <w:color w:val="00000A"/>
          <w:lang w:eastAsia="zxx" w:bidi="ar-SA"/>
        </w:rPr>
        <w:t xml:space="preserve"> de </w:t>
      </w:r>
      <w:r>
        <w:rPr>
          <w:rFonts w:eastAsia="Times New Roman" w:cs="Times New Roman"/>
          <w:i w:val="false"/>
          <w:iCs w:val="false"/>
          <w:color w:val="00000A"/>
          <w:lang w:eastAsia="zxx" w:bidi="ar-SA"/>
        </w:rPr>
        <w:t xml:space="preserve">Montaigne </w:t>
      </w:r>
      <w:r>
        <w:rPr>
          <w:rFonts w:eastAsia="Times New Roman" w:cs="Times New Roman"/>
          <w:i w:val="false"/>
          <w:iCs w:val="false"/>
          <w:color w:val="00000A"/>
          <w:lang w:eastAsia="zxx" w:bidi="ar-SA"/>
        </w:rPr>
        <w:t xml:space="preserve">1588. </w:t>
      </w:r>
      <w:r>
        <w:rPr>
          <w:rStyle w:val="Slritalique"/>
          <w:rFonts w:eastAsia="Times New Roman" w:cs="Times New Roman"/>
          <w:iCs/>
          <w:color w:val="00000A"/>
          <w:lang w:eastAsia="zxx" w:bidi="ar-SA"/>
        </w:rPr>
        <w:t>Essais. Cinquiesme édition augmentée d'un troisiesme livre et de six cens additions aux deux premiers</w:t>
      </w:r>
      <w:r>
        <w:rPr>
          <w:rFonts w:eastAsia="Times New Roman" w:cs="Times New Roman"/>
          <w:i w:val="false"/>
          <w:iCs w:val="false"/>
          <w:color w:val="00000A"/>
          <w:lang w:eastAsia="zxx" w:bidi="ar-SA"/>
        </w:rPr>
        <w:t>. Paris : Abel l'Angelier.</w:t>
      </w:r>
    </w:p>
    <w:p>
      <w:pPr>
        <w:pStyle w:val="Slrabreviationsreferencesbibliographiques"/>
        <w:rPr/>
      </w:pPr>
      <w:r>
        <w:rPr>
          <w:rFonts w:eastAsia="Times New Roman" w:cs="Times New Roman"/>
          <w:i w:val="false"/>
          <w:iCs w:val="false"/>
          <w:color w:val="00000A"/>
          <w:lang w:eastAsia="zxx" w:bidi="ar-SA"/>
        </w:rPr>
        <w:t xml:space="preserve">Parussa, </w:t>
      </w:r>
      <w:r>
        <w:rPr>
          <w:rFonts w:eastAsia="Times New Roman" w:cs="Times New Roman"/>
          <w:i w:val="false"/>
          <w:iCs w:val="false"/>
          <w:color w:val="000000"/>
          <w:lang w:eastAsia="zxx" w:bidi="ar-SA"/>
        </w:rPr>
        <w:t xml:space="preserve">à paraître </w:t>
      </w:r>
      <w:r>
        <w:rPr>
          <w:rFonts w:eastAsia="Times New Roman" w:cs="Times New Roman"/>
          <w:i w:val="false"/>
          <w:iCs w:val="false"/>
          <w:color w:val="000000"/>
          <w:lang w:eastAsia="zxx" w:bidi="ar-SA"/>
        </w:rPr>
        <w:t xml:space="preserve">= </w:t>
      </w:r>
      <w:r>
        <w:rPr>
          <w:rFonts w:eastAsia="Times New Roman" w:cs="Times New Roman"/>
          <w:i w:val="false"/>
          <w:iCs w:val="false"/>
          <w:color w:val="00000A"/>
          <w:lang w:eastAsia="zxx" w:bidi="ar-SA"/>
        </w:rPr>
        <w:t xml:space="preserve">Gabriella </w:t>
      </w:r>
      <w:r>
        <w:rPr>
          <w:rFonts w:eastAsia="Times New Roman" w:cs="Times New Roman"/>
          <w:i w:val="false"/>
          <w:iCs w:val="false"/>
          <w:color w:val="00000A"/>
          <w:lang w:eastAsia="zxx" w:bidi="ar-SA"/>
        </w:rPr>
        <w:t>Parussa</w:t>
      </w:r>
      <w:r>
        <w:rPr>
          <w:rFonts w:eastAsia="Times New Roman" w:cs="Times New Roman"/>
          <w:i w:val="false"/>
          <w:iCs w:val="false"/>
          <w:color w:val="00000A"/>
          <w:lang w:eastAsia="zxx" w:bidi="ar-SA"/>
        </w:rPr>
        <w:t xml:space="preserve">, </w:t>
      </w:r>
      <w:r>
        <w:rPr>
          <w:rFonts w:eastAsia="Times New Roman" w:cs="Times New Roman"/>
          <w:i w:val="false"/>
          <w:iCs w:val="false"/>
          <w:color w:val="000000"/>
          <w:lang w:eastAsia="zxx" w:bidi="ar-SA"/>
        </w:rPr>
        <w:t xml:space="preserve">à paraître. </w:t>
      </w:r>
      <w:r>
        <w:rPr>
          <w:rStyle w:val="Slritalique"/>
          <w:rFonts w:eastAsia="Times New Roman" w:cs="Times New Roman"/>
          <w:iCs w:val="false"/>
          <w:color w:val="000000"/>
          <w:lang w:eastAsia="zxx" w:bidi="ar-SA"/>
        </w:rPr>
        <w:t>Dea</w:t>
      </w:r>
      <w:r>
        <w:rPr>
          <w:rStyle w:val="Slritalique"/>
          <w:rFonts w:eastAsia="Times New Roman" w:cs="Times New Roman"/>
          <w:iCs w:val="false"/>
          <w:color w:val="000000"/>
          <w:lang w:eastAsia="zxx" w:bidi="ar-SA"/>
        </w:rPr>
        <w:t xml:space="preserve">, </w:t>
      </w:r>
      <w:r>
        <w:rPr>
          <w:rStyle w:val="Slritalique"/>
          <w:rFonts w:eastAsia="Times New Roman" w:cs="Times New Roman"/>
          <w:iCs w:val="false"/>
          <w:color w:val="000000"/>
          <w:lang w:eastAsia="zxx" w:bidi="ar-SA"/>
        </w:rPr>
        <w:t>dia</w:t>
      </w:r>
      <w:r>
        <w:rPr>
          <w:rStyle w:val="Slritalique"/>
          <w:rFonts w:eastAsia="Times New Roman" w:cs="Times New Roman"/>
          <w:iCs w:val="false"/>
          <w:color w:val="000000"/>
          <w:lang w:eastAsia="zxx" w:bidi="ar-SA"/>
        </w:rPr>
        <w:t xml:space="preserve">, </w:t>
      </w:r>
      <w:r>
        <w:rPr>
          <w:rStyle w:val="Slritalique"/>
          <w:rFonts w:eastAsia="Times New Roman" w:cs="Times New Roman"/>
          <w:iCs w:val="false"/>
          <w:color w:val="000000"/>
          <w:lang w:eastAsia="zxx" w:bidi="ar-SA"/>
        </w:rPr>
        <w:t>da</w:t>
      </w:r>
      <w:r>
        <w:rPr>
          <w:rFonts w:eastAsia="Times New Roman" w:cs="Times New Roman"/>
          <w:i w:val="false"/>
          <w:iCs w:val="false"/>
          <w:color w:val="000000"/>
          <w:lang w:eastAsia="zxx" w:bidi="ar-SA"/>
        </w:rPr>
        <w:t xml:space="preserve"> : un marqueur discursif en diachronie dans un corpus de dialogues en français. </w:t>
      </w:r>
      <w:r>
        <w:rPr>
          <w:rStyle w:val="Slritalique"/>
          <w:rFonts w:eastAsia="Times New Roman" w:cs="Times New Roman"/>
          <w:iCs/>
          <w:color w:val="000000"/>
          <w:lang w:eastAsia="zxx" w:bidi="ar-SA"/>
        </w:rPr>
        <w:t>Langages</w:t>
      </w:r>
      <w:r>
        <w:rPr>
          <w:rFonts w:eastAsia="Times New Roman" w:cs="Times New Roman"/>
          <w:i w:val="false"/>
          <w:iCs w:val="false"/>
          <w:color w:val="000000"/>
          <w:lang w:eastAsia="zxx" w:bidi="ar-SA"/>
        </w:rPr>
        <w:t>.</w:t>
      </w:r>
    </w:p>
    <w:p>
      <w:pPr>
        <w:pStyle w:val="Slrabreviationsreferencesbibliographiques"/>
        <w:rPr/>
      </w:pPr>
      <w:r>
        <w:rPr/>
        <w:t>PRO = Pronom.</w:t>
      </w:r>
    </w:p>
    <w:p>
      <w:pPr>
        <w:pStyle w:val="Slrabreviationsreferencesbibliographiques"/>
        <w:rPr/>
      </w:pPr>
      <w:r>
        <w:rPr/>
        <w:t>SIDF = Société internationale de diachronie du français.</w:t>
      </w:r>
    </w:p>
    <w:p>
      <w:pPr>
        <w:pStyle w:val="Slrabreviationsreferencesbibliographiques"/>
        <w:rPr/>
      </w:pPr>
      <w:r>
        <w:rPr/>
        <w:t>SLI = Società di linguistica italiana.</w:t>
      </w:r>
    </w:p>
    <w:p>
      <w:pPr>
        <w:pStyle w:val="Slrabreviationsreferencesbibliographiques"/>
        <w:rPr/>
      </w:pPr>
      <w:r>
        <w:rPr/>
        <w:t xml:space="preserve">Slobin </w:t>
      </w:r>
      <w:r>
        <w:rPr/>
        <w:t xml:space="preserve">1996 = </w:t>
      </w:r>
      <w:r>
        <w:rPr/>
        <w:t xml:space="preserve">Dan I. </w:t>
      </w:r>
      <w:r>
        <w:rPr/>
        <w:t xml:space="preserve">Slobin </w:t>
      </w:r>
      <w:r>
        <w:rPr/>
        <w:t xml:space="preserve">1996. From 'thought and language' to 'thinking for speaking'. John J. Gumperz (éd.). </w:t>
      </w:r>
      <w:r>
        <w:rPr>
          <w:rStyle w:val="Slritalique"/>
          <w:iCs/>
        </w:rPr>
        <w:t>Rethinking linguistic relativity</w:t>
      </w:r>
      <w:r>
        <w:rPr/>
        <w:t>. Cambridge</w:t>
      </w:r>
      <w:r>
        <w:rPr>
          <w:rFonts w:eastAsia="Times New Roman" w:cs="Times New Roman"/>
          <w:b w:val="false"/>
          <w:i w:val="false"/>
          <w:iCs w:val="false"/>
          <w:color w:val="00000A"/>
          <w:sz w:val="24"/>
          <w:szCs w:val="24"/>
          <w:lang w:eastAsia="zxx" w:bidi="ar-SA"/>
        </w:rPr>
        <w:t> </w:t>
      </w:r>
      <w:r>
        <w:rPr/>
        <w:t>: Cambridge University Press, 70-96.</w:t>
      </w:r>
    </w:p>
    <w:p>
      <w:pPr>
        <w:pStyle w:val="Slrabreviationsreferencesbibliographiques"/>
        <w:rPr/>
      </w:pPr>
      <w:r>
        <w:rPr>
          <w:rStyle w:val="Slritalique"/>
          <w:iCs w:val="false"/>
          <w:lang w:val="fr-FR"/>
        </w:rPr>
        <w:t>TILG</w:t>
      </w:r>
      <w:r>
        <w:rPr>
          <w:lang w:val="fr-FR"/>
        </w:rPr>
        <w:t xml:space="preserve"> = Instituto da Lingua Galega (</w:t>
      </w:r>
      <w:r>
        <w:rPr>
          <w:lang w:val="fr-FR"/>
        </w:rPr>
        <w:t>é</w:t>
      </w:r>
      <w:r>
        <w:rPr>
          <w:lang w:val="fr-FR"/>
        </w:rPr>
        <w:t xml:space="preserve">d.) 2018. </w:t>
      </w:r>
      <w:r>
        <w:rPr>
          <w:rStyle w:val="Slritalique"/>
          <w:iCs w:val="false"/>
          <w:lang w:val="fr-FR"/>
        </w:rPr>
        <w:t>Tesouro informatizado da lingua galega</w:t>
      </w:r>
      <w:r>
        <w:rPr>
          <w:lang w:val="fr-FR"/>
        </w:rPr>
        <w:t xml:space="preserve">. </w:t>
      </w:r>
      <w:hyperlink r:id="rId23">
        <w:r>
          <w:rPr>
            <w:rStyle w:val="InternetLink"/>
            <w:lang w:val="fr-FR"/>
          </w:rPr>
          <w:t>https://ilg.usc.es/TILG/gl/tilg</w:t>
        </w:r>
      </w:hyperlink>
      <w:r>
        <w:rPr>
          <w:lang w:val="fr-FR"/>
        </w:rPr>
        <w:t>.</w:t>
      </w:r>
    </w:p>
    <w:p>
      <w:pPr>
        <w:pStyle w:val="Slrabreviationsreferencesbibliographiques"/>
        <w:rPr/>
      </w:pPr>
      <w:r>
        <w:rPr>
          <w:rStyle w:val="Slritalique"/>
          <w:lang w:val="fr-FR"/>
        </w:rPr>
        <w:t>TLF</w:t>
      </w:r>
      <w:r>
        <w:rPr>
          <w:lang w:val="fr-FR"/>
        </w:rPr>
        <w:t xml:space="preserve"> = Laboratoire Analyse et traitement informatique de la langue française (ATILF) (</w:t>
      </w:r>
      <w:r>
        <w:rPr>
          <w:lang w:val="fr-FR"/>
        </w:rPr>
        <w:t>é</w:t>
      </w:r>
      <w:r>
        <w:rPr>
          <w:lang w:val="fr-FR"/>
        </w:rPr>
        <w:t>d.) 2013-202</w:t>
      </w:r>
      <w:r>
        <w:rPr>
          <w:lang w:val="fr-FR"/>
        </w:rPr>
        <w:t>2</w:t>
      </w:r>
      <w:r>
        <w:rPr>
          <w:lang w:val="fr-FR"/>
        </w:rPr>
        <w:t xml:space="preserve">. </w:t>
      </w:r>
      <w:r>
        <w:rPr>
          <w:rStyle w:val="Slritalique"/>
          <w:lang w:val="fr-FR"/>
        </w:rPr>
        <w:t>Trésor de la langue française informatisé</w:t>
      </w:r>
      <w:r>
        <w:rPr>
          <w:lang w:val="fr-FR"/>
        </w:rPr>
        <w:t xml:space="preserve">. </w:t>
      </w:r>
      <w:hyperlink r:id="rId24">
        <w:r>
          <w:rPr>
            <w:rStyle w:val="InternetLink"/>
            <w:lang w:val="fr-FR"/>
          </w:rPr>
          <w:t>http://atilf.atilf.fr</w:t>
        </w:r>
      </w:hyperlink>
      <w:r>
        <w:rPr>
          <w:lang w:val="fr-FR"/>
        </w:rPr>
        <w:t>.</w:t>
      </w:r>
    </w:p>
    <w:p>
      <w:pPr>
        <w:pStyle w:val="Slrabreviationsreferencesbibliographiques"/>
        <w:rPr/>
      </w:pPr>
      <w:r>
        <w:rPr>
          <w:rStyle w:val="Slritalique"/>
          <w:iCs/>
        </w:rPr>
        <w:t>TLIO</w:t>
      </w:r>
      <w:r>
        <w:rPr/>
        <w:t xml:space="preserve"> = Opera del vocabolario italiano (</w:t>
      </w:r>
      <w:r>
        <w:rPr/>
        <w:t>éd.</w:t>
      </w:r>
      <w:r>
        <w:rPr/>
        <w:t xml:space="preserve">) </w:t>
      </w:r>
      <w:r>
        <w:rPr/>
        <w:t>1998-2022</w:t>
      </w:r>
      <w:r>
        <w:rPr/>
        <w:t xml:space="preserve">. </w:t>
      </w:r>
      <w:r>
        <w:rPr>
          <w:rStyle w:val="Slritalique"/>
          <w:iCs/>
        </w:rPr>
        <w:t xml:space="preserve">Corpus del Tesoro della lingua italiana delle </w:t>
      </w:r>
      <w:r>
        <w:rPr>
          <w:rStyle w:val="Slritalique"/>
          <w:iCs/>
        </w:rPr>
        <w:t>O</w:t>
      </w:r>
      <w:r>
        <w:rPr>
          <w:rStyle w:val="Slritalique"/>
          <w:iCs/>
        </w:rPr>
        <w:t>rigini</w:t>
      </w:r>
      <w:r>
        <w:rPr/>
        <w:t xml:space="preserve">. </w:t>
      </w:r>
      <w:hyperlink r:id="rId25">
        <w:r>
          <w:rPr>
            <w:rStyle w:val="InternetLink"/>
          </w:rPr>
          <w:t>http://tlioweb.ovi.cnr.it</w:t>
        </w:r>
      </w:hyperlink>
      <w:r>
        <w:rPr/>
        <w:t>.</w:t>
      </w:r>
    </w:p>
    <w:sectPr>
      <w:headerReference w:type="default" r:id="rId26"/>
      <w:footerReference w:type="default" r:id="rId27"/>
      <w:footnotePr>
        <w:numFmt w:val="decimal"/>
      </w:footnotePr>
      <w:type w:val="nextPage"/>
      <w:pgSz w:w="11906" w:h="16838"/>
      <w:pgMar w:left="1984" w:right="1984" w:header="1984" w:top="2380" w:footer="1984" w:bottom="2778"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9-10-30T14:45:1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Numéro ORCID facultatif</w:t>
      </w:r>
    </w:p>
  </w:comment>
  <w:comment w:id="1" w:author="Unknown Author" w:date="2019-11-29T16:35:1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Citation brève jusqu'à trois lignes entre guillemets en chevrons doubles</w:t>
      </w:r>
    </w:p>
  </w:comment>
  <w:comment w:id="2" w:author="Unknown Author" w:date="2019-11-25T17:17: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Répéter la référence bibliographique complète (sans « ibid. »).</w:t>
      </w:r>
    </w:p>
  </w:comment>
  <w:comment w:id="3" w:author="Unknown Author" w:date="2019-11-22T08:57: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Expression impropre, ironique ou métaphorique entre guillemets en apostrophe simples</w:t>
      </w:r>
    </w:p>
  </w:comment>
  <w:comment w:id="4" w:author="Unknown Author" w:date="2022-10-05T17:33:1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slr-exemple-simple »</w:t>
      </w:r>
    </w:p>
  </w:comment>
  <w:comment w:id="5" w:author="Unknown Author" w:date="2022-10-05T17:38:0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Éviter (1a), (1b), etc.</w:t>
      </w:r>
    </w:p>
  </w:comment>
  <w:comment w:id="6" w:author="Unknown Author" w:date="2021-05-22T20:18:2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Éventuellement style caractère « slr-italique » pour mettre en relief un mot/plusieurs mots dans les exemples numérotés</w:t>
      </w:r>
    </w:p>
  </w:comment>
  <w:comment w:id="7" w:author="Unknown Author" w:date="2022-10-05T17:34:2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slr-exemple-simple-traduction »</w:t>
      </w:r>
    </w:p>
  </w:comment>
  <w:comment w:id="8" w:author="Unknown Author" w:date="2022-10-05T17:35:0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slr-exemple-simple-traduction-mots »</w:t>
      </w:r>
    </w:p>
  </w:comment>
  <w:comment w:id="9" w:author="Unknown Author" w:date="2022-10-05T17:35: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slr-exemple-interaction »</w:t>
      </w:r>
    </w:p>
  </w:comment>
  <w:comment w:id="10" w:author="Unknown Author" w:date="2022-10-05T17:36:2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tableau « slr-exemple-interaction-traduction »</w:t>
      </w:r>
    </w:p>
  </w:comment>
  <w:comment w:id="11" w:author="Unknown Author" w:date="2019-11-22T09:02:5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slr-italique » pour les exemples sans numéro</w:t>
      </w:r>
    </w:p>
  </w:comment>
  <w:comment w:id="12" w:author="Unknown Author" w:date="2019-11-22T09:01: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Signifiés entre guillemets en apostrophe simples</w:t>
      </w:r>
    </w:p>
  </w:comment>
  <w:comment w:id="13" w:author="Unknown Author" w:date="2020-01-11T16:37:2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 &amp; » pour le deuxième auteur/éditeur</w:t>
      </w:r>
    </w:p>
  </w:comment>
  <w:comment w:id="14" w:author="Unknown Author" w:date="2019-11-29T16:52:2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Éventuellement « [....] » pour la première édition/édition originale</w:t>
      </w:r>
    </w:p>
  </w:comment>
  <w:comment w:id="15" w:author="Unknown Author" w:date="2019-12-03T18:03:1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 et al. » (sans italiques) pour plus de trois auteurs/éditeurs</w:t>
      </w:r>
    </w:p>
  </w:comment>
  <w:comment w:id="16" w:author="Unknown Author" w:date="2019-11-25T17:12:4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Majuscule accentué</w:t>
      </w:r>
    </w:p>
  </w:comment>
  <w:comment w:id="17" w:author="Unknown Author" w:date="2019-11-29T16:45:0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Point-virgule entre les auteurs</w:t>
      </w:r>
    </w:p>
  </w:comment>
  <w:comment w:id="18" w:author="Unknown Author" w:date="2022-02-27T10:24:3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slr-numero-note »</w:t>
      </w:r>
    </w:p>
  </w:comment>
  <w:comment w:id="19" w:author="Unknown Author" w:date="2019-11-29T16:45:55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Virgule entre les publications du même auteur</w:t>
      </w:r>
    </w:p>
  </w:comment>
  <w:comment w:id="20" w:author="Unknown Author" w:date="2020-01-11T12:17:0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Figures dans des fichiers séparés (jpg ou png)</w:t>
      </w:r>
    </w:p>
  </w:comment>
  <w:comment w:id="21" w:author="Unknown Author" w:date="2020-09-09T16:10: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slr-gras »</w:t>
      </w:r>
    </w:p>
  </w:comment>
  <w:comment w:id="22" w:author="Unknown Author" w:date="2020-09-09T16:09:31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slr-gras-italique »</w:t>
      </w:r>
    </w:p>
  </w:comment>
  <w:comment w:id="23" w:author="Unknown Author" w:date="2022-10-10T10:31:1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alinéa « slr-tableau-donnees » et style tableau « slr-tableau »</w:t>
      </w:r>
    </w:p>
  </w:comment>
  <w:comment w:id="24" w:author="Unknown Author" w:date="2020-05-01T17:40: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Numéros distincts pour tableaux et figures</w:t>
      </w:r>
    </w:p>
  </w:comment>
  <w:comment w:id="25" w:author="Unknown Author" w:date="2019-11-26T18:35:05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Numéro bas (sans exposant) et arabe pour le siècle</w:t>
      </w:r>
    </w:p>
  </w:comment>
  <w:comment w:id="26" w:author="Unknown Author" w:date="2022-04-01T15:56:0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Lien pour les publications en libre accès</w:t>
      </w:r>
    </w:p>
  </w:comment>
  <w:comment w:id="27" w:author="Unknown Author" w:date="2019-11-27T16:04:0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Premier prénom complet, deuxième prénom abrégé</w:t>
      </w:r>
    </w:p>
  </w:comment>
  <w:comment w:id="28" w:author="Unknown Author" w:date="2019-12-04T11:15:5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Indications facultatives</w:t>
      </w:r>
    </w:p>
  </w:comment>
  <w:comment w:id="29" w:author="Unknown Author" w:date="2021-05-21T09:09:01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Année de consultation (seulement pour les sites qui sont mis à jour)</w:t>
      </w:r>
    </w:p>
  </w:comment>
  <w:comment w:id="30" w:author="Unknown Author" w:date="2022-04-01T16:04:1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fr-FR" w:eastAsia="zh-CN" w:bidi="hi-IN"/>
        </w:rPr>
        <w:t>Style caractère « slr-italique » pour les abréviations de titres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Nimbus Sans L">
    <w:altName w:val="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entetebasdepage"/>
      <w:rPr/>
    </w:pPr>
    <w:r>
      <w:rPr>
        <w:rStyle w:val="Slritalique"/>
        <w:iCs/>
      </w:rPr>
      <w:t>Studia linguistica romanica</w:t>
    </w:r>
    <w:r>
      <w:rPr/>
      <w:t xml:space="preserve"> 202</w:t>
    </w:r>
    <w:r>
      <w:rPr/>
      <w:t>3</w:t>
    </w:r>
    <w:r>
      <w:rPr/>
      <w:t>.</w:t>
    </w:r>
    <w:r>
      <w:rPr/>
      <w:t>9</w:t>
    </w:r>
    <w:r>
      <w:rPr/>
      <w:tab/>
    </w:r>
    <w:r>
      <w:rPr/>
      <w:fldChar w:fldCharType="begin"/>
    </w:r>
    <w:r>
      <w:rPr/>
      <w:instrText> PAGE </w:instrText>
    </w:r>
    <w:r>
      <w:rPr/>
      <w:fldChar w:fldCharType="separate"/>
    </w:r>
    <w:r>
      <w:rPr/>
      <w:t>10</w:t>
    </w:r>
    <w:r>
      <w:rPr/>
      <w:fldChar w:fldCharType="end"/>
    </w:r>
  </w:p>
  <w:p>
    <w:pPr>
      <w:pStyle w:val="Slrentetebasdepage"/>
      <w:rPr/>
    </w:pPr>
    <w:r>
      <w:rPr/>
      <w:t>DOI : https://doi.org/10.25364/19.202</w:t>
    </w:r>
    <w:r>
      <w:rPr/>
      <w:t>3</w:t>
    </w:r>
    <w:r>
      <w:rPr/>
      <w:t>.</w:t>
    </w:r>
    <w:r>
      <w:rPr/>
      <w:t>9</w:t>
    </w:r>
    <w:r>
      <w:rPr/>
      <w:t>.4</w:t>
      <w:tab/>
      <w:t>ISSN : 2663-9815</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lrnoteenbasdepage"/>
        <w:rPr/>
      </w:pPr>
      <w:r>
        <w:rPr>
          <w:rStyle w:val="FootnoteCharacters"/>
        </w:rPr>
        <w:footnoteRef/>
      </w:r>
      <w:r>
        <w:rPr>
          <w:lang w:val="fr-FR"/>
        </w:rPr>
        <w:t xml:space="preserve"> </w:t>
      </w:r>
      <w:r>
        <w:rPr>
          <w:lang w:val="fr-FR"/>
        </w:rPr>
        <w:t>Note en bas de page, en Times New Roman, avec une police de 10 points et une interligne de 0,42 cm</w:t>
      </w:r>
      <w:r>
        <w:rPr/>
        <w:t xml:space="preserve">. </w:t>
      </w:r>
      <w:r>
        <w:rPr>
          <w:lang w:val="fr-FR"/>
        </w:rPr>
        <w:t xml:space="preserve">Note en bas de page, en Times New Roman, avec une police de 10 points et une interligne de 0,42 cm </w:t>
      </w:r>
      <w:r>
        <w:rPr>
          <w:lang w:val="fr-FR"/>
        </w:rPr>
        <w:t>(</w:t>
      </w:r>
      <w:commentRangeStart w:id="31"/>
      <w:r>
        <w:rPr>
          <w:lang w:val="fr-FR"/>
        </w:rPr>
        <w:t>cf.</w:t>
      </w:r>
      <w:r>
        <w:rPr/>
      </w:r>
      <w:commentRangeEnd w:id="31"/>
      <w:r>
        <w:commentReference w:id="31"/>
      </w:r>
      <w:r>
        <w:rPr>
          <w:lang w:val="fr-FR"/>
        </w:rPr>
        <w:t xml:space="preserve"> Alvar 2000)</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entetebasdepage"/>
      <w:rPr/>
    </w:pPr>
    <w:r>
      <w:rPr/>
      <w:t>Nom de famille</w:t>
      <w:tab/>
    </w:r>
    <w:r>
      <w:rPr>
        <w:iCs w:val="false"/>
      </w:rPr>
      <w:t xml:space="preserve">Titre </w:t>
    </w:r>
    <w:r>
      <w:rPr>
        <w:iCs w:val="false"/>
      </w:rPr>
      <w:t>abrégé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lrtitresectionniveau1"/>
      <w:numFmt w:val="none"/>
      <w:suff w:val="nothing"/>
      <w:lvlText w:val=""/>
      <w:lvlJc w:val="left"/>
      <w:pPr>
        <w:tabs>
          <w:tab w:val="num" w:pos="432"/>
        </w:tabs>
        <w:ind w:left="432" w:hanging="432"/>
      </w:pPr>
    </w:lvl>
    <w:lvl w:ilvl="1">
      <w:start w:val="1"/>
      <w:pStyle w:val="Slrtitresectionniveau2"/>
      <w:numFmt w:val="none"/>
      <w:suff w:val="nothing"/>
      <w:lvlText w:val=""/>
      <w:lvlJc w:val="left"/>
      <w:pPr>
        <w:tabs>
          <w:tab w:val="num" w:pos="576"/>
        </w:tabs>
        <w:ind w:left="576" w:hanging="576"/>
      </w:pPr>
    </w:lvl>
    <w:lvl w:ilvl="2">
      <w:start w:val="1"/>
      <w:pStyle w:val="Slrtitresectionniveau3"/>
      <w:numFmt w:val="none"/>
      <w:suff w:val="nothing"/>
      <w:lvlText w:val=""/>
      <w:lvlJc w:val="left"/>
      <w:pPr>
        <w:tabs>
          <w:tab w:val="num" w:pos="720"/>
        </w:tabs>
        <w:ind w:left="720" w:hanging="720"/>
      </w:pPr>
    </w:lvl>
    <w:lvl w:ilvl="3">
      <w:start w:val="1"/>
      <w:pStyle w:val="Slrtitresectionniveau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isplayBackgroundShape/>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Cs w:val="24"/>
        <w:lang w:val="de-DE" w:eastAsia="zh-CN" w:bidi="hi-IN"/>
      </w:rPr>
    </w:rPrDefault>
    <w:pPrDefault>
      <w:pPr>
        <w:suppressAutoHyphens w:val="true"/>
      </w:pPr>
    </w:pPrDefault>
  </w:docDefaults>
  <w:style w:type="paragraph" w:styleId="Normal">
    <w:name w:val="Normal"/>
    <w:qFormat/>
    <w:pPr>
      <w:widowControl/>
      <w:suppressLineNumbers/>
      <w:shd w:fill="FFFFFF" w:val="clear"/>
      <w:suppressAutoHyphens w:val="false"/>
      <w:kinsoku w:val="true"/>
      <w:overflowPunct w:val="false"/>
      <w:autoSpaceDE w:val="true"/>
      <w:bidi w:val="0"/>
      <w:spacing w:lineRule="exact" w:line="278"/>
      <w:jc w:val="both"/>
    </w:pPr>
    <w:rPr>
      <w:rFonts w:ascii="Times New Roman" w:hAnsi="Times New Roman" w:eastAsia="Times New Roman" w:cs="Times New Roman"/>
      <w:color w:val="00000A"/>
      <w:kern w:val="2"/>
      <w:sz w:val="24"/>
      <w:szCs w:val="20"/>
      <w:lang w:val="en-US" w:eastAsia="zxx" w:bidi="ar-SA"/>
    </w:rPr>
  </w:style>
  <w:style w:type="paragraph" w:styleId="Heading1">
    <w:name w:val="Heading 1"/>
    <w:basedOn w:val="Normal"/>
    <w:next w:val="Heading2"/>
    <w:qFormat/>
    <w:pPr>
      <w:keepNext w:val="true"/>
      <w:numPr>
        <w:ilvl w:val="0"/>
        <w:numId w:val="0"/>
      </w:numPr>
      <w:shd w:fill="FFFFFF" w:val="clear"/>
      <w:tabs>
        <w:tab w:val="clear" w:pos="709"/>
        <w:tab w:val="left" w:pos="0" w:leader="none"/>
      </w:tabs>
      <w:spacing w:before="1400" w:after="0"/>
      <w:ind w:left="0" w:right="0" w:hanging="0"/>
      <w:jc w:val="center"/>
      <w:outlineLvl w:val="0"/>
    </w:pPr>
    <w:rPr>
      <w:b/>
      <w:lang w:val="en-GB"/>
    </w:rPr>
  </w:style>
  <w:style w:type="paragraph" w:styleId="Heading2">
    <w:name w:val="Heading 2"/>
    <w:basedOn w:val="Normal"/>
    <w:next w:val="Normal"/>
    <w:qFormat/>
    <w:pPr>
      <w:keepNext w:val="true"/>
      <w:numPr>
        <w:ilvl w:val="0"/>
        <w:numId w:val="0"/>
      </w:numPr>
      <w:shd w:fill="FFFFFF" w:val="clear"/>
      <w:spacing w:lineRule="exact" w:line="278" w:before="0" w:after="0"/>
      <w:ind w:left="0" w:right="0" w:hanging="0"/>
      <w:jc w:val="left"/>
      <w:outlineLvl w:val="1"/>
    </w:pPr>
    <w:rPr>
      <w:rFonts w:cs="Arial"/>
      <w:b/>
      <w:bCs/>
      <w:i w:val="false"/>
      <w:iCs/>
      <w:sz w:val="24"/>
      <w:szCs w:val="28"/>
    </w:rPr>
  </w:style>
  <w:style w:type="paragraph" w:styleId="Heading3">
    <w:name w:val="Heading 3"/>
    <w:basedOn w:val="Normal"/>
    <w:next w:val="Normal"/>
    <w:qFormat/>
    <w:pPr>
      <w:keepNext w:val="true"/>
      <w:numPr>
        <w:ilvl w:val="0"/>
        <w:numId w:val="0"/>
      </w:numPr>
      <w:shd w:fill="FFFFFF" w:val="clear"/>
      <w:ind w:left="0" w:right="0" w:hanging="0"/>
      <w:outlineLvl w:val="2"/>
    </w:pPr>
    <w:rPr>
      <w:rFonts w:cs="Arial"/>
      <w:bCs/>
      <w:i/>
      <w:szCs w:val="26"/>
    </w:rPr>
  </w:style>
  <w:style w:type="paragraph" w:styleId="Heading4">
    <w:name w:val="Heading 4"/>
    <w:basedOn w:val="Normal"/>
    <w:next w:val="Normal"/>
    <w:qFormat/>
    <w:pPr>
      <w:keepNext w:val="true"/>
      <w:numPr>
        <w:ilvl w:val="0"/>
        <w:numId w:val="0"/>
      </w:numPr>
      <w:shd w:fill="FFFFFF" w:val="clear"/>
      <w:ind w:left="0" w:right="0" w:hanging="0"/>
      <w:jc w:val="both"/>
      <w:outlineLvl w:val="3"/>
    </w:pPr>
    <w:rPr>
      <w:b/>
      <w:bCs/>
      <w:lang w:val="en-US"/>
    </w:rPr>
  </w:style>
  <w:style w:type="paragraph" w:styleId="Heading5">
    <w:name w:val="Heading 5"/>
    <w:basedOn w:val="Normal"/>
    <w:next w:val="Normal"/>
    <w:qFormat/>
    <w:pPr>
      <w:keepNext w:val="true"/>
      <w:numPr>
        <w:ilvl w:val="0"/>
        <w:numId w:val="0"/>
      </w:numPr>
      <w:shd w:fill="FFFFFF" w:val="clear"/>
      <w:ind w:left="0" w:right="0" w:hanging="0"/>
      <w:outlineLvl w:val="4"/>
    </w:pPr>
    <w:rPr>
      <w:b/>
      <w:bCs/>
      <w:sz w:val="20"/>
      <w:lang w:val="zxx"/>
    </w:rPr>
  </w:style>
  <w:style w:type="paragraph" w:styleId="Heading6">
    <w:name w:val="Heading 6"/>
    <w:basedOn w:val="Normal"/>
    <w:next w:val="Normal"/>
    <w:qFormat/>
    <w:pPr>
      <w:keepNext w:val="true"/>
      <w:numPr>
        <w:ilvl w:val="0"/>
        <w:numId w:val="0"/>
      </w:numPr>
      <w:shd w:fill="FFFFFF" w:val="clear"/>
      <w:ind w:left="0" w:right="0" w:hanging="0"/>
      <w:outlineLvl w:val="5"/>
    </w:pPr>
    <w:rPr>
      <w:b/>
      <w:bCs/>
      <w:i/>
      <w:iCs/>
      <w:lang w:val="zxx"/>
    </w:rPr>
  </w:style>
  <w:style w:type="paragraph" w:styleId="Heading7">
    <w:name w:val="Heading 7"/>
    <w:basedOn w:val="Normal"/>
    <w:next w:val="Normal"/>
    <w:qFormat/>
    <w:pPr>
      <w:keepNext w:val="true"/>
      <w:numPr>
        <w:ilvl w:val="0"/>
        <w:numId w:val="0"/>
      </w:numPr>
      <w:shd w:fill="FFFFFF" w:val="clear"/>
      <w:ind w:left="0" w:right="0" w:hanging="0"/>
      <w:outlineLvl w:val="6"/>
    </w:pPr>
    <w:rPr>
      <w:b/>
      <w:bCs/>
      <w:i/>
      <w:iCs/>
      <w:sz w:val="20"/>
      <w:lang w:val="zxx"/>
    </w:rPr>
  </w:style>
  <w:style w:type="paragraph" w:styleId="Heading8">
    <w:name w:val="Heading 8"/>
    <w:basedOn w:val="Normal"/>
    <w:next w:val="Normal"/>
    <w:qFormat/>
    <w:pPr>
      <w:keepNext w:val="true"/>
      <w:numPr>
        <w:ilvl w:val="0"/>
        <w:numId w:val="0"/>
      </w:numPr>
      <w:shd w:fill="FFFFFF" w:val="clear"/>
      <w:ind w:left="0" w:right="0" w:hanging="0"/>
      <w:jc w:val="both"/>
      <w:outlineLvl w:val="7"/>
    </w:pPr>
    <w:rPr>
      <w:b/>
      <w:bCs/>
      <w:sz w:val="20"/>
    </w:rPr>
  </w:style>
  <w:style w:type="paragraph" w:styleId="Heading9">
    <w:name w:val="Heading 9"/>
    <w:basedOn w:val="Heading"/>
    <w:qFormat/>
    <w:pPr>
      <w:numPr>
        <w:ilvl w:val="0"/>
        <w:numId w:val="0"/>
      </w:numPr>
      <w:shd w:fill="FFFFFF" w:val="clear"/>
      <w:outlineLvl w:val="8"/>
    </w:pPr>
    <w:rPr>
      <w:b/>
      <w:bCs/>
      <w:sz w:val="21"/>
      <w:szCs w:val="21"/>
    </w:rPr>
  </w:style>
  <w:style w:type="character" w:styleId="FootnoteCharacters">
    <w:name w:val="Footnote Characters"/>
    <w:qFormat/>
    <w:rPr>
      <w:sz w:val="18"/>
    </w:rPr>
  </w:style>
  <w:style w:type="character" w:styleId="PageNumber">
    <w:name w:val="Page Number"/>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EndnoteCharacters">
    <w:name w:val="Endnote Characters"/>
    <w:qFormat/>
    <w:rPr>
      <w:vertAlign w:val="superscript"/>
    </w:rPr>
  </w:style>
  <w:style w:type="character" w:styleId="StrongEmphasis">
    <w:name w:val="Strong Emphasis"/>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IndexLink">
    <w:name w:val="Index Link"/>
    <w:qFormat/>
    <w:rPr/>
  </w:style>
  <w:style w:type="character" w:styleId="Emphasis">
    <w:name w:val="Emphasis"/>
    <w:qFormat/>
    <w:rPr>
      <w:i/>
      <w:iCs/>
    </w:rPr>
  </w:style>
  <w:style w:type="character" w:styleId="Slrgras">
    <w:name w:val="slr-gras"/>
    <w:qFormat/>
    <w:rPr>
      <w:b/>
    </w:rPr>
  </w:style>
  <w:style w:type="character" w:styleId="Slritalique">
    <w:name w:val="slr-italique"/>
    <w:qFormat/>
    <w:rPr>
      <w:i/>
    </w:rPr>
  </w:style>
  <w:style w:type="character" w:styleId="Slrgrasitalique">
    <w:name w:val="slr-gras-italique"/>
    <w:qFormat/>
    <w:rPr>
      <w:b/>
      <w:i/>
    </w:rPr>
  </w:style>
  <w:style w:type="character" w:styleId="NumberingSymbols">
    <w:name w:val="Numbering Symbols"/>
    <w:qFormat/>
    <w:rPr/>
  </w:style>
  <w:style w:type="character" w:styleId="Slrnumeronote">
    <w:name w:val="slr-numero-note"/>
    <w:qFormat/>
    <w:rPr>
      <w:vertAlign w:val="superscript"/>
      <w:lang w:val="fr-FR"/>
    </w:rPr>
  </w:style>
  <w:style w:type="paragraph" w:styleId="Heading">
    <w:name w:val="Heading"/>
    <w:basedOn w:val="Normal"/>
    <w:next w:val="TextBody"/>
    <w:qFormat/>
    <w:pPr>
      <w:keepNext w:val="true"/>
      <w:shd w:fill="FFFFFF" w:val="clear"/>
      <w:spacing w:before="240" w:after="120"/>
    </w:pPr>
    <w:rPr>
      <w:rFonts w:ascii="Nimbus Sans L;Arial" w:hAnsi="Nimbus Sans L;Arial" w:eastAsia="DejaVu Sans" w:cs="DejaVu Sans"/>
      <w:sz w:val="28"/>
      <w:szCs w:val="28"/>
    </w:rPr>
  </w:style>
  <w:style w:type="paragraph" w:styleId="TextBody">
    <w:name w:val="Body Text"/>
    <w:basedOn w:val="Normal"/>
    <w:pPr>
      <w:shd w:fill="FFFFFF" w:val="clear"/>
      <w:tabs>
        <w:tab w:val="clear" w:pos="709"/>
        <w:tab w:val="left" w:pos="0" w:leader="none"/>
      </w:tabs>
      <w:spacing w:before="240" w:after="0"/>
      <w:jc w:val="both"/>
    </w:pPr>
    <w:rPr>
      <w:lang w:val="en-GB"/>
    </w:rPr>
  </w:style>
  <w:style w:type="paragraph" w:styleId="List">
    <w:name w:val="List"/>
    <w:basedOn w:val="TextBody"/>
    <w:pPr>
      <w:shd w:fill="FFFFFF" w:val="clear"/>
    </w:pPr>
    <w:rPr>
      <w:rFonts w:cs="Tahoma"/>
    </w:rPr>
  </w:style>
  <w:style w:type="paragraph" w:styleId="Caption">
    <w:name w:val="Caption"/>
    <w:basedOn w:val="Normal"/>
    <w:qFormat/>
    <w:pPr>
      <w:suppressLineNumbers/>
      <w:shd w:fill="FFFFFF" w:val="clear"/>
      <w:spacing w:before="120" w:after="120"/>
    </w:pPr>
    <w:rPr>
      <w:i/>
      <w:iCs/>
      <w:sz w:val="24"/>
      <w:szCs w:val="24"/>
    </w:rPr>
  </w:style>
  <w:style w:type="paragraph" w:styleId="Index">
    <w:name w:val="Index"/>
    <w:basedOn w:val="Normal"/>
    <w:qFormat/>
    <w:pPr>
      <w:suppressLineNumbers/>
      <w:shd w:fill="FFFFFF" w:val="clear"/>
    </w:pPr>
    <w:rPr/>
  </w:style>
  <w:style w:type="paragraph" w:styleId="TextBodyIndent">
    <w:name w:val="Body Text Indent"/>
    <w:basedOn w:val="Normal"/>
    <w:pPr>
      <w:shd w:fill="FFFFFF" w:val="clear"/>
      <w:ind w:left="709" w:right="0" w:hanging="0"/>
      <w:jc w:val="both"/>
    </w:pPr>
    <w:rPr>
      <w:lang w:val="en-GB"/>
    </w:rPr>
  </w:style>
  <w:style w:type="paragraph" w:styleId="HeaderandFooter">
    <w:name w:val="Header and Footer"/>
    <w:basedOn w:val="Normal"/>
    <w:qFormat/>
    <w:pPr/>
    <w:rPr/>
  </w:style>
  <w:style w:type="paragraph" w:styleId="Header">
    <w:name w:val="Header"/>
    <w:basedOn w:val="Normal"/>
    <w:pPr>
      <w:shd w:fill="FFFFFF" w:val="clear"/>
      <w:tabs>
        <w:tab w:val="clear" w:pos="709"/>
        <w:tab w:val="center" w:pos="4536" w:leader="none"/>
        <w:tab w:val="right" w:pos="9072" w:leader="none"/>
      </w:tabs>
    </w:pPr>
    <w:rPr/>
  </w:style>
  <w:style w:type="paragraph" w:styleId="Footer">
    <w:name w:val="Footer"/>
    <w:basedOn w:val="Normal"/>
    <w:pPr>
      <w:shd w:fill="FFFFFF" w:val="clear"/>
      <w:tabs>
        <w:tab w:val="clear" w:pos="709"/>
        <w:tab w:val="center" w:pos="4536" w:leader="none"/>
        <w:tab w:val="right" w:pos="9072" w:leader="none"/>
      </w:tabs>
    </w:pPr>
    <w:rPr/>
  </w:style>
  <w:style w:type="paragraph" w:styleId="TableContents">
    <w:name w:val="Table Contents"/>
    <w:basedOn w:val="Normal"/>
    <w:qFormat/>
    <w:pPr>
      <w:suppressLineNumbers/>
      <w:shd w:fill="FFFFFF" w:val="clear"/>
    </w:pPr>
    <w:rPr/>
  </w:style>
  <w:style w:type="paragraph" w:styleId="TableHeading">
    <w:name w:val="Table Heading"/>
    <w:basedOn w:val="TableContents"/>
    <w:qFormat/>
    <w:pPr>
      <w:suppressLineNumbers/>
      <w:shd w:fill="FFFFFF" w:val="clear"/>
      <w:jc w:val="center"/>
    </w:pPr>
    <w:rPr>
      <w:b/>
      <w:bCs/>
      <w:i/>
      <w:iCs/>
    </w:rPr>
  </w:style>
  <w:style w:type="paragraph" w:styleId="Footnote">
    <w:name w:val="Footnote Text"/>
    <w:basedOn w:val="Normal"/>
    <w:pPr>
      <w:shd w:fill="FFFFFF" w:val="clear"/>
      <w:spacing w:lineRule="exact" w:line="198"/>
    </w:pPr>
    <w:rPr>
      <w:sz w:val="20"/>
    </w:rPr>
  </w:style>
  <w:style w:type="paragraph" w:styleId="IndexHeading">
    <w:name w:val="Index Heading"/>
    <w:basedOn w:val="Normal"/>
    <w:pPr>
      <w:shd w:fill="FFFFFF" w:val="clear"/>
      <w:spacing w:before="240" w:after="120"/>
      <w:jc w:val="center"/>
    </w:pPr>
    <w:rPr>
      <w:b/>
      <w:sz w:val="26"/>
    </w:rPr>
  </w:style>
  <w:style w:type="paragraph" w:styleId="Index1">
    <w:name w:val="Index 1"/>
    <w:basedOn w:val="Normal"/>
    <w:next w:val="Normal"/>
    <w:pPr>
      <w:shd w:fill="FFFFFF" w:val="clear"/>
      <w:ind w:left="240" w:right="0" w:hanging="240"/>
    </w:pPr>
    <w:rPr>
      <w:sz w:val="18"/>
    </w:rPr>
  </w:style>
  <w:style w:type="paragraph" w:styleId="Index2">
    <w:name w:val="Index 2"/>
    <w:basedOn w:val="Normal"/>
    <w:next w:val="Normal"/>
    <w:pPr>
      <w:shd w:fill="FFFFFF" w:val="clear"/>
      <w:ind w:left="480" w:right="0" w:hanging="240"/>
    </w:pPr>
    <w:rPr>
      <w:sz w:val="18"/>
    </w:rPr>
  </w:style>
  <w:style w:type="paragraph" w:styleId="Index3">
    <w:name w:val="Index 3"/>
    <w:basedOn w:val="Normal"/>
    <w:next w:val="Normal"/>
    <w:pPr>
      <w:shd w:fill="FFFFFF" w:val="clear"/>
      <w:ind w:left="720" w:right="0" w:hanging="240"/>
    </w:pPr>
    <w:rPr>
      <w:sz w:val="18"/>
    </w:rPr>
  </w:style>
  <w:style w:type="paragraph" w:styleId="Contents1">
    <w:name w:val="TOC 1"/>
    <w:basedOn w:val="Normal"/>
    <w:next w:val="Normal"/>
    <w:pPr>
      <w:shd w:fill="FFFFFF" w:val="clear"/>
    </w:pPr>
    <w:rPr/>
  </w:style>
  <w:style w:type="paragraph" w:styleId="Contents2">
    <w:name w:val="TOC 2"/>
    <w:basedOn w:val="Normal"/>
    <w:next w:val="Normal"/>
    <w:pPr>
      <w:shd w:fill="FFFFFF" w:val="clear"/>
      <w:ind w:left="240" w:right="0" w:hanging="0"/>
    </w:pPr>
    <w:rPr/>
  </w:style>
  <w:style w:type="paragraph" w:styleId="Contents3">
    <w:name w:val="TOC 3"/>
    <w:basedOn w:val="Normal"/>
    <w:next w:val="Normal"/>
    <w:pPr>
      <w:shd w:fill="FFFFFF" w:val="clear"/>
      <w:ind w:left="480" w:right="0" w:hanging="0"/>
    </w:pPr>
    <w:rPr/>
  </w:style>
  <w:style w:type="paragraph" w:styleId="Contents4">
    <w:name w:val="TOC 4"/>
    <w:basedOn w:val="Normal"/>
    <w:next w:val="Normal"/>
    <w:pPr>
      <w:shd w:fill="FFFFFF" w:val="clear"/>
      <w:ind w:left="720" w:right="0" w:hanging="0"/>
    </w:pPr>
    <w:rPr/>
  </w:style>
  <w:style w:type="paragraph" w:styleId="Contents5">
    <w:name w:val="TOC 5"/>
    <w:basedOn w:val="Normal"/>
    <w:next w:val="Normal"/>
    <w:pPr>
      <w:shd w:fill="FFFFFF" w:val="clear"/>
      <w:ind w:left="960" w:right="0" w:hanging="0"/>
    </w:pPr>
    <w:rPr/>
  </w:style>
  <w:style w:type="paragraph" w:styleId="Contents6">
    <w:name w:val="TOC 6"/>
    <w:basedOn w:val="Normal"/>
    <w:next w:val="Normal"/>
    <w:pPr>
      <w:shd w:fill="FFFFFF" w:val="clear"/>
      <w:ind w:left="1200" w:right="0" w:hanging="0"/>
    </w:pPr>
    <w:rPr/>
  </w:style>
  <w:style w:type="paragraph" w:styleId="Contents7">
    <w:name w:val="TOC 7"/>
    <w:basedOn w:val="Normal"/>
    <w:next w:val="Normal"/>
    <w:pPr>
      <w:shd w:fill="FFFFFF" w:val="clear"/>
      <w:ind w:left="1440" w:right="0" w:hanging="0"/>
    </w:pPr>
    <w:rPr/>
  </w:style>
  <w:style w:type="paragraph" w:styleId="Contents8">
    <w:name w:val="TOC 8"/>
    <w:basedOn w:val="Normal"/>
    <w:next w:val="Normal"/>
    <w:pPr>
      <w:shd w:fill="FFFFFF" w:val="clear"/>
      <w:ind w:left="1680" w:right="0" w:hanging="0"/>
    </w:pPr>
    <w:rPr/>
  </w:style>
  <w:style w:type="paragraph" w:styleId="Contents9">
    <w:name w:val="TOC 9"/>
    <w:basedOn w:val="Normal"/>
    <w:next w:val="Normal"/>
    <w:pPr>
      <w:shd w:fill="FFFFFF" w:val="clear"/>
      <w:ind w:left="1920" w:right="0" w:hanging="0"/>
    </w:pPr>
    <w:rPr/>
  </w:style>
  <w:style w:type="paragraph" w:styleId="Title">
    <w:name w:val="Title"/>
    <w:basedOn w:val="Normal"/>
    <w:next w:val="Subtitle"/>
    <w:qFormat/>
    <w:pPr>
      <w:shd w:fill="FFFFFF" w:val="clear"/>
      <w:jc w:val="center"/>
    </w:pPr>
    <w:rPr>
      <w:b/>
      <w:sz w:val="28"/>
      <w:lang w:val="en-GB"/>
    </w:rPr>
  </w:style>
  <w:style w:type="paragraph" w:styleId="Subtitle">
    <w:name w:val="Subtitle"/>
    <w:basedOn w:val="Normal"/>
    <w:qFormat/>
    <w:pPr>
      <w:shd w:fill="FFFFFF" w:val="clear"/>
      <w:jc w:val="center"/>
    </w:pPr>
    <w:rPr>
      <w:i/>
      <w:iCs/>
      <w:sz w:val="28"/>
      <w:szCs w:val="28"/>
    </w:rPr>
  </w:style>
  <w:style w:type="paragraph" w:styleId="Slrtitre">
    <w:name w:val="slr-titre"/>
    <w:qFormat/>
    <w:pPr>
      <w:widowControl w:val="false"/>
      <w:suppressAutoHyphens w:val="false"/>
      <w:kinsoku w:val="true"/>
      <w:overflowPunct w:val="true"/>
      <w:autoSpaceDE w:val="true"/>
      <w:bidi w:val="0"/>
      <w:spacing w:lineRule="exact" w:line="278" w:before="0" w:after="0"/>
      <w:jc w:val="center"/>
    </w:pPr>
    <w:rPr>
      <w:rFonts w:ascii="Times New Roman" w:hAnsi="Times New Roman" w:eastAsia="Droid Sans Fallback" w:cs="FreeSans"/>
      <w:b/>
      <w:caps w:val="false"/>
      <w:smallCaps w:val="false"/>
      <w:color w:val="auto"/>
      <w:kern w:val="2"/>
      <w:sz w:val="24"/>
      <w:szCs w:val="24"/>
      <w:lang w:val="fr-FR" w:eastAsia="zh-CN" w:bidi="hi-IN"/>
    </w:rPr>
  </w:style>
  <w:style w:type="paragraph" w:styleId="Slrnom">
    <w:name w:val="slr-nom"/>
    <w:qFormat/>
    <w:pPr>
      <w:widowControl w:val="false"/>
      <w:suppressAutoHyphens w:val="false"/>
      <w:kinsoku w:val="true"/>
      <w:overflowPunct w:val="true"/>
      <w:autoSpaceDE w:val="true"/>
      <w:bidi w:val="0"/>
      <w:spacing w:lineRule="exact" w:line="278" w:before="0" w:after="0"/>
      <w:ind w:left="0" w:right="0" w:hanging="0"/>
      <w:jc w:val="center"/>
    </w:pPr>
    <w:rPr>
      <w:rFonts w:ascii="Times New Roman" w:hAnsi="Times New Roman" w:eastAsia="Droid Sans Fallback" w:cs="FreeSans"/>
      <w:b w:val="false"/>
      <w:color w:val="auto"/>
      <w:kern w:val="2"/>
      <w:sz w:val="24"/>
      <w:szCs w:val="24"/>
      <w:lang w:val="fr-FR" w:eastAsia="zh-CN" w:bidi="hi-IN"/>
    </w:rPr>
  </w:style>
  <w:style w:type="paragraph" w:styleId="Slrtitresectionniveau1">
    <w:name w:val="slr-titre-section-niveau-1"/>
    <w:qFormat/>
    <w:pPr>
      <w:widowControl w:val="false"/>
      <w:numPr>
        <w:ilvl w:val="0"/>
        <w:numId w:val="1"/>
      </w:numPr>
      <w:tabs>
        <w:tab w:val="clear" w:pos="709"/>
      </w:tabs>
      <w:suppressAutoHyphens w:val="false"/>
      <w:kinsoku w:val="true"/>
      <w:overflowPunct w:val="true"/>
      <w:autoSpaceDE w:val="true"/>
      <w:bidi w:val="0"/>
      <w:spacing w:lineRule="exact" w:line="278" w:before="113" w:after="0"/>
      <w:ind w:left="567" w:right="0" w:hanging="567"/>
      <w:outlineLvl w:val="0"/>
    </w:pPr>
    <w:rPr>
      <w:rFonts w:ascii="Times New Roman" w:hAnsi="Times New Roman" w:eastAsia="Droid Sans Fallback" w:cs="FreeSans"/>
      <w:b/>
      <w:color w:val="auto"/>
      <w:kern w:val="2"/>
      <w:sz w:val="24"/>
      <w:szCs w:val="24"/>
      <w:lang w:val="fr-FR" w:eastAsia="zh-CN" w:bidi="hi-IN"/>
    </w:rPr>
  </w:style>
  <w:style w:type="paragraph" w:styleId="Slralineacontinuation">
    <w:name w:val="slr-alinea-continuation"/>
    <w:qFormat/>
    <w:pPr>
      <w:widowControl w:val="false"/>
      <w:suppressAutoHyphens w:val="false"/>
      <w:kinsoku w:val="true"/>
      <w:overflowPunct w:val="true"/>
      <w:autoSpaceDE w:val="true"/>
      <w:bidi w:val="0"/>
      <w:spacing w:lineRule="exact" w:line="278"/>
      <w:ind w:left="0" w:right="0" w:hanging="0"/>
      <w:jc w:val="both"/>
    </w:pPr>
    <w:rPr>
      <w:rFonts w:ascii="Times New Roman" w:hAnsi="Times New Roman" w:eastAsia="Droid Sans Fallback" w:cs="FreeSans"/>
      <w:color w:val="auto"/>
      <w:kern w:val="2"/>
      <w:sz w:val="24"/>
      <w:szCs w:val="24"/>
      <w:lang w:val="fr-FR" w:eastAsia="zh-CN" w:bidi="hi-IN"/>
    </w:rPr>
  </w:style>
  <w:style w:type="paragraph" w:styleId="Slralinea">
    <w:name w:val="slr-alinea"/>
    <w:qFormat/>
    <w:pPr>
      <w:widowControl w:val="false"/>
      <w:numPr>
        <w:ilvl w:val="0"/>
        <w:numId w:val="0"/>
      </w:numPr>
      <w:suppressLineNumbers/>
      <w:tabs>
        <w:tab w:val="clear" w:pos="709"/>
      </w:tabs>
      <w:suppressAutoHyphens w:val="false"/>
      <w:kinsoku w:val="true"/>
      <w:overflowPunct w:val="true"/>
      <w:autoSpaceDE w:val="true"/>
      <w:bidi w:val="0"/>
      <w:spacing w:lineRule="exact" w:line="278"/>
      <w:ind w:left="0" w:right="0" w:firstLine="567"/>
      <w:jc w:val="both"/>
    </w:pPr>
    <w:rPr>
      <w:rFonts w:ascii="Times New Roman" w:hAnsi="Times New Roman" w:eastAsia="Droid Sans Fallback" w:cs="FreeSans"/>
      <w:color w:val="auto"/>
      <w:kern w:val="2"/>
      <w:sz w:val="24"/>
      <w:szCs w:val="24"/>
      <w:lang w:val="fr-FR" w:eastAsia="zh-CN" w:bidi="hi-IN"/>
    </w:rPr>
  </w:style>
  <w:style w:type="paragraph" w:styleId="Slrtitresectionniveau2">
    <w:name w:val="slr-titre-section-niveau-2"/>
    <w:qFormat/>
    <w:pPr>
      <w:widowControl w:val="false"/>
      <w:numPr>
        <w:ilvl w:val="1"/>
        <w:numId w:val="1"/>
      </w:numPr>
      <w:tabs>
        <w:tab w:val="clear" w:pos="709"/>
      </w:tabs>
      <w:suppressAutoHyphens w:val="false"/>
      <w:kinsoku w:val="true"/>
      <w:overflowPunct w:val="true"/>
      <w:autoSpaceDE w:val="true"/>
      <w:bidi w:val="0"/>
      <w:spacing w:lineRule="exact" w:line="278" w:before="113" w:after="0"/>
      <w:ind w:left="567" w:right="0" w:hanging="567"/>
      <w:outlineLvl w:val="1"/>
    </w:pPr>
    <w:rPr>
      <w:rFonts w:ascii="Times New Roman" w:hAnsi="Times New Roman" w:eastAsia="Droid Sans Fallback" w:cs="FreeSans"/>
      <w:color w:val="auto"/>
      <w:kern w:val="2"/>
      <w:sz w:val="24"/>
      <w:szCs w:val="24"/>
      <w:lang w:val="fr-FR" w:eastAsia="zh-CN" w:bidi="hi-IN"/>
    </w:rPr>
  </w:style>
  <w:style w:type="paragraph" w:styleId="Slrcitation">
    <w:name w:val="slr-citation"/>
    <w:qFormat/>
    <w:pPr>
      <w:widowControl w:val="false"/>
      <w:suppressAutoHyphens w:val="false"/>
      <w:kinsoku w:val="true"/>
      <w:overflowPunct w:val="true"/>
      <w:autoSpaceDE w:val="true"/>
      <w:bidi w:val="0"/>
      <w:spacing w:lineRule="exact" w:line="238" w:before="113" w:after="113"/>
      <w:ind w:left="567" w:right="567" w:hanging="0"/>
      <w:jc w:val="both"/>
    </w:pPr>
    <w:rPr>
      <w:rFonts w:ascii="Times New Roman" w:hAnsi="Times New Roman" w:eastAsia="Droid Sans Fallback" w:cs="FreeSans"/>
      <w:color w:val="auto"/>
      <w:kern w:val="2"/>
      <w:sz w:val="20"/>
      <w:szCs w:val="24"/>
      <w:lang w:val="fr-FR" w:eastAsia="zh-CN" w:bidi="hi-IN"/>
    </w:rPr>
  </w:style>
  <w:style w:type="paragraph" w:styleId="Slrnoteenbasdepage">
    <w:name w:val="slr-note-en-bas-de-page"/>
    <w:qFormat/>
    <w:pPr>
      <w:widowControl w:val="false"/>
      <w:suppressAutoHyphens w:val="false"/>
      <w:kinsoku w:val="true"/>
      <w:overflowPunct w:val="true"/>
      <w:autoSpaceDE w:val="true"/>
      <w:bidi w:val="0"/>
      <w:spacing w:lineRule="exact" w:line="238"/>
      <w:jc w:val="both"/>
    </w:pPr>
    <w:rPr>
      <w:rFonts w:ascii="Times New Roman" w:hAnsi="Times New Roman" w:eastAsia="Droid Sans Fallback" w:cs="FreeSans"/>
      <w:color w:val="auto"/>
      <w:kern w:val="2"/>
      <w:sz w:val="20"/>
      <w:szCs w:val="24"/>
      <w:lang w:val="fr-FR" w:eastAsia="zh-CN" w:bidi="hi-IN"/>
    </w:rPr>
  </w:style>
  <w:style w:type="paragraph" w:styleId="Slrabreviationsreferencesbibliographiques">
    <w:name w:val="slr-abreviations-references-bibliographiques"/>
    <w:qFormat/>
    <w:pPr>
      <w:widowControl w:val="false"/>
      <w:tabs>
        <w:tab w:val="clear" w:pos="709"/>
      </w:tabs>
      <w:suppressAutoHyphens w:val="false"/>
      <w:kinsoku w:val="true"/>
      <w:overflowPunct w:val="true"/>
      <w:autoSpaceDE w:val="true"/>
      <w:bidi w:val="0"/>
      <w:spacing w:lineRule="exact" w:line="238"/>
      <w:ind w:left="567" w:right="0" w:hanging="567"/>
      <w:jc w:val="both"/>
    </w:pPr>
    <w:rPr>
      <w:rFonts w:ascii="Times New Roman" w:hAnsi="Times New Roman" w:eastAsia="Droid Sans Fallback" w:cs="FreeSans"/>
      <w:color w:val="auto"/>
      <w:kern w:val="2"/>
      <w:sz w:val="20"/>
      <w:szCs w:val="24"/>
      <w:lang w:val="fr-FR" w:eastAsia="zh-CN" w:bidi="hi-IN"/>
    </w:rPr>
  </w:style>
  <w:style w:type="paragraph" w:styleId="Slrentetebasdepage">
    <w:name w:val="slr-en-tete-bas-de-page"/>
    <w:qFormat/>
    <w:pPr>
      <w:widowControl w:val="false"/>
      <w:tabs>
        <w:tab w:val="clear" w:pos="709"/>
        <w:tab w:val="right" w:pos="7937" w:leader="none"/>
      </w:tabs>
      <w:kinsoku w:val="true"/>
      <w:overflowPunct w:val="true"/>
      <w:autoSpaceDE w:val="true"/>
      <w:bidi w:val="0"/>
      <w:spacing w:lineRule="exact" w:line="198"/>
      <w:jc w:val="both"/>
      <w:textAlignment w:val="auto"/>
    </w:pPr>
    <w:rPr>
      <w:rFonts w:ascii="Arial" w:hAnsi="Arial" w:eastAsia="Droid Sans Fallback" w:cs="FreeSans"/>
      <w:color w:val="auto"/>
      <w:kern w:val="2"/>
      <w:sz w:val="16"/>
      <w:szCs w:val="24"/>
      <w:lang w:val="fr-FR" w:eastAsia="zh-CN" w:bidi="hi-IN"/>
    </w:rPr>
  </w:style>
  <w:style w:type="paragraph" w:styleId="Slruniversiteinstitutionvilleetat">
    <w:name w:val="slr-universite-institution-ville-etat"/>
    <w:qFormat/>
    <w:pPr>
      <w:widowControl w:val="false"/>
      <w:tabs>
        <w:tab w:val="clear" w:pos="709"/>
      </w:tabs>
      <w:suppressAutoHyphens w:val="false"/>
      <w:kinsoku w:val="true"/>
      <w:overflowPunct w:val="true"/>
      <w:autoSpaceDE w:val="true"/>
      <w:bidi w:val="0"/>
      <w:spacing w:lineRule="exact" w:line="278" w:before="0" w:after="0"/>
      <w:jc w:val="center"/>
    </w:pPr>
    <w:rPr>
      <w:rFonts w:ascii="Times New Roman" w:hAnsi="Times New Roman" w:eastAsia="Droid Sans Fallback" w:cs="FreeSans"/>
      <w:color w:val="auto"/>
      <w:kern w:val="2"/>
      <w:sz w:val="20"/>
      <w:szCs w:val="24"/>
      <w:lang w:val="fr-FR" w:eastAsia="zh-CN" w:bidi="hi-IN"/>
    </w:rPr>
  </w:style>
  <w:style w:type="paragraph" w:styleId="Slrdates">
    <w:name w:val="slr-dates"/>
    <w:qFormat/>
    <w:pPr>
      <w:widowControl w:val="false"/>
      <w:kinsoku w:val="true"/>
      <w:overflowPunct w:val="true"/>
      <w:autoSpaceDE w:val="true"/>
      <w:bidi w:val="0"/>
      <w:spacing w:lineRule="exact" w:line="278" w:before="0" w:after="567"/>
      <w:jc w:val="center"/>
    </w:pPr>
    <w:rPr>
      <w:rFonts w:ascii="Times New Roman" w:hAnsi="Times New Roman" w:eastAsia="Droid Sans Fallback" w:cs="FreeSans"/>
      <w:color w:val="auto"/>
      <w:kern w:val="2"/>
      <w:sz w:val="20"/>
      <w:szCs w:val="24"/>
      <w:lang w:val="fr-FR" w:eastAsia="zh-CN" w:bidi="hi-IN"/>
    </w:rPr>
  </w:style>
  <w:style w:type="paragraph" w:styleId="Slrsoustitre">
    <w:name w:val="slr-sous-titre"/>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b/>
      <w:color w:val="auto"/>
      <w:kern w:val="2"/>
      <w:sz w:val="24"/>
      <w:szCs w:val="24"/>
      <w:lang w:val="fr-FR" w:eastAsia="zh-CN" w:bidi="hi-IN"/>
    </w:rPr>
  </w:style>
  <w:style w:type="paragraph" w:styleId="Slrorcid">
    <w:name w:val="slr-orcid"/>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0"/>
      <w:szCs w:val="24"/>
      <w:lang w:val="fr-FR" w:eastAsia="zh-CN" w:bidi="hi-IN"/>
    </w:rPr>
  </w:style>
  <w:style w:type="paragraph" w:styleId="Slrresumetexte">
    <w:name w:val="slr-resume-texte"/>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fr-FR" w:eastAsia="zh-CN" w:bidi="hi-IN"/>
    </w:rPr>
  </w:style>
  <w:style w:type="paragraph" w:styleId="Slrabstracttext">
    <w:name w:val="slr-abstract-text"/>
    <w:qFormat/>
    <w:pPr>
      <w:widowControl w:val="false"/>
      <w:suppressAutoHyphens w:val="false"/>
      <w:kinsoku w:val="true"/>
      <w:overflowPunct w:val="true"/>
      <w:autoSpaceDE w:val="true"/>
      <w:bidi w:val="0"/>
      <w:spacing w:lineRule="exact" w:line="238" w:before="0" w:after="0"/>
      <w:jc w:val="both"/>
    </w:pPr>
    <w:rPr>
      <w:rFonts w:ascii="Times New Roman" w:hAnsi="Times New Roman" w:eastAsia="Droid Sans Fallback" w:cs="FreeSans"/>
      <w:color w:val="auto"/>
      <w:kern w:val="2"/>
      <w:sz w:val="20"/>
      <w:szCs w:val="24"/>
      <w:lang w:val="en-US" w:eastAsia="zh-CN" w:bidi="hi-IN"/>
    </w:rPr>
  </w:style>
  <w:style w:type="paragraph" w:styleId="HeaderLeft">
    <w:name w:val="Header Left"/>
    <w:basedOn w:val="Normal"/>
    <w:qFormat/>
    <w:pPr/>
    <w:rPr/>
  </w:style>
  <w:style w:type="paragraph" w:styleId="Slrcourriel">
    <w:name w:val="slr-courriel"/>
    <w:qFormat/>
    <w:pPr>
      <w:widowControl w:val="false"/>
      <w:suppressAutoHyphens w:val="false"/>
      <w:kinsoku w:val="true"/>
      <w:overflowPunct w:val="true"/>
      <w:autoSpaceDE w:val="true"/>
      <w:bidi w:val="0"/>
      <w:spacing w:lineRule="exact" w:line="278"/>
      <w:jc w:val="center"/>
    </w:pPr>
    <w:rPr>
      <w:rFonts w:ascii="Times New Roman" w:hAnsi="Times New Roman" w:eastAsia="Droid Sans Fallback" w:cs="FreeSans"/>
      <w:color w:val="auto"/>
      <w:kern w:val="2"/>
      <w:sz w:val="20"/>
      <w:szCs w:val="24"/>
      <w:lang w:val="fr-FR" w:eastAsia="zh-CN" w:bidi="hi-IN"/>
    </w:rPr>
  </w:style>
  <w:style w:type="paragraph" w:styleId="Slrfiguretableaulegende">
    <w:name w:val="slr-figure-tableau-legende"/>
    <w:qFormat/>
    <w:pPr>
      <w:widowControl w:val="false"/>
      <w:suppressAutoHyphens w:val="false"/>
      <w:kinsoku w:val="true"/>
      <w:overflowPunct w:val="true"/>
      <w:autoSpaceDE w:val="true"/>
      <w:bidi w:val="0"/>
      <w:spacing w:lineRule="exact" w:line="238"/>
      <w:jc w:val="center"/>
    </w:pPr>
    <w:rPr>
      <w:rFonts w:ascii="Times New Roman" w:hAnsi="Times New Roman" w:eastAsia="Droid Sans Fallback" w:cs="FreeSans"/>
      <w:color w:val="auto"/>
      <w:kern w:val="2"/>
      <w:sz w:val="20"/>
      <w:szCs w:val="24"/>
      <w:lang w:val="fr-FR" w:eastAsia="zh-CN" w:bidi="hi-IN"/>
    </w:rPr>
  </w:style>
  <w:style w:type="paragraph" w:styleId="Slrtableaudonnees">
    <w:name w:val="slr-tableau-donnees"/>
    <w:qFormat/>
    <w:pPr>
      <w:widowControl w:val="false"/>
      <w:kinsoku w:val="true"/>
      <w:overflowPunct w:val="true"/>
      <w:autoSpaceDE w:val="true"/>
      <w:bidi w:val="0"/>
      <w:spacing w:lineRule="exact" w:line="238"/>
      <w:jc w:val="center"/>
    </w:pPr>
    <w:rPr>
      <w:rFonts w:ascii="Arial" w:hAnsi="Arial" w:eastAsia="Droid Sans Fallback" w:cs="FreeSans"/>
      <w:color w:val="auto"/>
      <w:kern w:val="2"/>
      <w:sz w:val="20"/>
      <w:szCs w:val="24"/>
      <w:lang w:val="fr-FR" w:eastAsia="zh-CN" w:bidi="hi-IN"/>
    </w:rPr>
  </w:style>
  <w:style w:type="paragraph" w:styleId="Slrliste">
    <w:name w:val="slr-liste"/>
    <w:qFormat/>
    <w:pPr>
      <w:widowControl w:val="false"/>
      <w:tabs>
        <w:tab w:val="clear" w:pos="709"/>
      </w:tabs>
      <w:suppressAutoHyphens w:val="false"/>
      <w:kinsoku w:val="true"/>
      <w:overflowPunct w:val="true"/>
      <w:autoSpaceDE w:val="true"/>
      <w:bidi w:val="0"/>
      <w:spacing w:lineRule="exact" w:line="278"/>
      <w:ind w:left="567" w:right="0" w:hanging="567"/>
      <w:jc w:val="both"/>
    </w:pPr>
    <w:rPr>
      <w:rFonts w:ascii="Times New Roman" w:hAnsi="Times New Roman" w:eastAsia="Droid Sans Fallback" w:cs="FreeSans"/>
      <w:color w:val="auto"/>
      <w:kern w:val="2"/>
      <w:sz w:val="24"/>
      <w:szCs w:val="24"/>
      <w:lang w:val="fr-FR" w:eastAsia="zh-CN" w:bidi="hi-IN"/>
    </w:rPr>
  </w:style>
  <w:style w:type="paragraph" w:styleId="Slrtitresectionniveau3">
    <w:name w:val="slr-titre-section-niveau-3"/>
    <w:basedOn w:val="Slrtitresectionniveau2"/>
    <w:qFormat/>
    <w:pPr>
      <w:numPr>
        <w:ilvl w:val="2"/>
        <w:numId w:val="1"/>
      </w:numPr>
      <w:ind w:left="567" w:right="0" w:hanging="567"/>
      <w:outlineLvl w:val="2"/>
    </w:pPr>
    <w:rPr/>
  </w:style>
  <w:style w:type="paragraph" w:styleId="Slrtitresectionniveau4">
    <w:name w:val="slr-titre-section-niveau-4"/>
    <w:basedOn w:val="Slrtitresectionniveau3"/>
    <w:qFormat/>
    <w:pPr>
      <w:numPr>
        <w:ilvl w:val="3"/>
        <w:numId w:val="1"/>
      </w:numPr>
      <w:outlineLvl w:val="3"/>
    </w:pPr>
    <w:rPr/>
  </w:style>
  <w:style w:type="paragraph" w:styleId="Slrresumetitre">
    <w:name w:val="slr-resume-titr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fr-FR" w:eastAsia="zh-CN" w:bidi="hi-IN"/>
    </w:rPr>
  </w:style>
  <w:style w:type="paragraph" w:styleId="Slrabstracttitle">
    <w:name w:val="slr-abstract-titl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en-US" w:eastAsia="zh-CN" w:bidi="hi-IN"/>
    </w:rPr>
  </w:style>
  <w:style w:type="paragraph" w:styleId="Slrpourcitertitre">
    <w:name w:val="slr-pour-citer-titr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fr-FR" w:eastAsia="zh-CN" w:bidi="hi-IN"/>
    </w:rPr>
  </w:style>
  <w:style w:type="paragraph" w:styleId="Slrpourcitertexte">
    <w:name w:val="slr-pour-citer-texte"/>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fr-FR" w:eastAsia="zh-CN" w:bidi="hi-IN"/>
    </w:rPr>
  </w:style>
  <w:style w:type="paragraph" w:styleId="Slrtitle">
    <w:name w:val="slr-title"/>
    <w:qFormat/>
    <w:pPr>
      <w:widowControl w:val="false"/>
      <w:suppressAutoHyphens w:val="false"/>
      <w:kinsoku w:val="true"/>
      <w:overflowPunct w:val="true"/>
      <w:autoSpaceDE w:val="true"/>
      <w:bidi w:val="0"/>
      <w:spacing w:lineRule="exact" w:line="278"/>
      <w:jc w:val="center"/>
    </w:pPr>
    <w:rPr>
      <w:rFonts w:ascii="Times New Roman" w:hAnsi="Times New Roman" w:eastAsia="Droid Sans Fallback" w:cs="FreeSans"/>
      <w:color w:val="auto"/>
      <w:kern w:val="2"/>
      <w:sz w:val="24"/>
      <w:szCs w:val="24"/>
      <w:lang w:val="en-US" w:eastAsia="zh-CN" w:bidi="hi-IN"/>
    </w:rPr>
  </w:style>
  <w:style w:type="paragraph" w:styleId="Slrsubtitle">
    <w:name w:val="slr-subtitle"/>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4"/>
      <w:szCs w:val="24"/>
      <w:lang w:val="en-US" w:eastAsia="zh-CN" w:bidi="hi-IN"/>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cid.org/0000-0002-4083-8663" TargetMode="External"/><Relationship Id="rId3" Type="http://schemas.openxmlformats.org/officeDocument/2006/relationships/image" Target="media/image1.jpeg"/><Relationship Id="rId4" Type="http://schemas.openxmlformats.org/officeDocument/2006/relationships/hyperlink" Target="http://lig-tdcge.imag.fr/cartodialect5" TargetMode="External"/><Relationship Id="rId5" Type="http://schemas.openxmlformats.org/officeDocument/2006/relationships/hyperlink" Target="https://www.isca-speech.org/archive/SpeechProsody_2016/pdfs/258.pdf" TargetMode="External"/><Relationship Id="rId6" Type="http://schemas.openxmlformats.org/officeDocument/2006/relationships/hyperlink" Target="http://www.politicaromaneasca.ro/ live_text_basescu_la_conventia_pdl_sa_gasiti_solutia_corecta-13636" TargetMode="External"/><Relationship Id="rId7" Type="http://schemas.openxmlformats.org/officeDocument/2006/relationships/hyperlink" Target="http://hdl.handle.net/10256/3964" TargetMode="External"/><Relationship Id="rId8" Type="http://schemas.openxmlformats.org/officeDocument/2006/relationships/hyperlink" Target="http://txm.ish-lyon.cnrs.fr/bfm" TargetMode="External"/><Relationship Id="rId9" Type="http://schemas.openxmlformats.org/officeDocument/2006/relationships/hyperlink" Target="http://web.frl.es/CNDHE" TargetMode="External"/><Relationship Id="rId10" Type="http://schemas.openxmlformats.org/officeDocument/2006/relationships/hyperlink" Target="http://corpus.rae.es/cordenet.html" TargetMode="External"/><Relationship Id="rId11" Type="http://schemas.openxmlformats.org/officeDocument/2006/relationships/hyperlink" Target="http://corpus.rae.es/cordenet.html" TargetMode="External"/><Relationship Id="rId12" Type="http://schemas.openxmlformats.org/officeDocument/2006/relationships/hyperlink" Target="http://www.lllf.uam.es/ESP/Corlec.html" TargetMode="External"/><Relationship Id="rId13" Type="http://schemas.openxmlformats.org/officeDocument/2006/relationships/hyperlink" Target="http://corola.racai.ro/" TargetMode="External"/><Relationship Id="rId14" Type="http://schemas.openxmlformats.org/officeDocument/2006/relationships/hyperlink" Target="http://corpus.rae.es/creanet.html" TargetMode="External"/><Relationship Id="rId15" Type="http://schemas.openxmlformats.org/officeDocument/2006/relationships/hyperlink" Target="http://www.deaf-page.de/" TargetMode="External"/><Relationship Id="rId16" Type="http://schemas.openxmlformats.org/officeDocument/2006/relationships/hyperlink" Target="https://doi.org/10.1051/shsconf/20184613001" TargetMode="External"/><Relationship Id="rId17" Type="http://schemas.openxmlformats.org/officeDocument/2006/relationships/hyperlink" Target="http://zeus.atilf.fr/dmf" TargetMode="External"/><Relationship Id="rId18" Type="http://schemas.openxmlformats.org/officeDocument/2006/relationships/hyperlink" Target="http://www.frantext.fr/" TargetMode="External"/><Relationship Id="rId19" Type="http://schemas.openxmlformats.org/officeDocument/2006/relationships/hyperlink" Target="https://www.ids-mannheim.de/" TargetMode="External"/><Relationship Id="rId20" Type="http://schemas.openxmlformats.org/officeDocument/2006/relationships/hyperlink" Target="https://doi.org/10.1051/shsconf/20120100238" TargetMode="External"/><Relationship Id="rId21" Type="http://schemas.openxmlformats.org/officeDocument/2006/relationships/hyperlink" Target="http://www.univ-orleans.fr/fr/lll" TargetMode="External"/><Relationship Id="rId22" Type="http://schemas.openxmlformats.org/officeDocument/2006/relationships/hyperlink" Target="http://www.linred.es/monograficos_pdf/LR-monografico15-articulo6.pdf" TargetMode="External"/><Relationship Id="rId23" Type="http://schemas.openxmlformats.org/officeDocument/2006/relationships/hyperlink" Target="https://ilg.usc.es/TILG/gl/tilg" TargetMode="External"/><Relationship Id="rId24" Type="http://schemas.openxmlformats.org/officeDocument/2006/relationships/hyperlink" Target="http://atilf.atilf.fr/" TargetMode="External"/><Relationship Id="rId25" Type="http://schemas.openxmlformats.org/officeDocument/2006/relationships/hyperlink" Target="http://tlioweb.ovi.cnr.it/"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notes" Target="footnotes.xml"/><Relationship Id="rId29" Type="http://schemas.openxmlformats.org/officeDocument/2006/relationships/comments" Target="comment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990413</TotalTime>
  <Application>LibreOffice/6.4.7.2$Linux_X86_64 LibreOffice_project/40$Build-2</Application>
  <Pages>10</Pages>
  <Words>3334</Words>
  <Characters>17374</Characters>
  <CharactersWithSpaces>20529</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2006-03-14T17:29:55Z</dcterms:created>
  <dc:creator>Stefan Schneider</dc:creator>
  <dc:description/>
  <dc:language>de-DE</dc:language>
  <cp:lastModifiedBy/>
  <cp:lastPrinted>2022-10-16T08:15:29Z</cp:lastPrinted>
  <dcterms:modified xsi:type="dcterms:W3CDTF">2022-10-15T08:09:30Z</dcterms:modified>
  <cp:revision>437</cp:revision>
  <dc:subject/>
  <dc:title/>
</cp:coreProperties>
</file>